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9" w:rsidRDefault="000B3509" w:rsidP="000B3509">
      <w:pPr>
        <w:pStyle w:val="Heading1"/>
      </w:pPr>
      <w:r>
        <w:t xml:space="preserve">Job Vacancy </w:t>
      </w:r>
    </w:p>
    <w:p w:rsidR="000B3509" w:rsidRDefault="00BF7CB7" w:rsidP="000B3509">
      <w:pPr>
        <w:pStyle w:val="Heading2"/>
      </w:pPr>
      <w:r>
        <w:t xml:space="preserve">Events Fundraiser </w:t>
      </w:r>
    </w:p>
    <w:p w:rsidR="006547AA" w:rsidRDefault="00551D03" w:rsidP="00551D03">
      <w:r w:rsidRPr="00551D03">
        <w:rPr>
          <w:b/>
        </w:rPr>
        <w:t>Salary</w:t>
      </w:r>
      <w:r w:rsidR="003409B5">
        <w:rPr>
          <w:b/>
        </w:rPr>
        <w:t xml:space="preserve">: </w:t>
      </w:r>
      <w:r w:rsidR="007D6840" w:rsidRPr="00A51C07">
        <w:t>£18,000</w:t>
      </w:r>
      <w:r w:rsidR="007D6840" w:rsidRPr="00A51C07">
        <w:rPr>
          <w:b/>
        </w:rPr>
        <w:t xml:space="preserve"> </w:t>
      </w:r>
      <w:r w:rsidR="006547AA" w:rsidRPr="00A51C07">
        <w:rPr>
          <w:b/>
        </w:rPr>
        <w:t>pro</w:t>
      </w:r>
      <w:r w:rsidR="00E81CA5">
        <w:rPr>
          <w:b/>
        </w:rPr>
        <w:t xml:space="preserve"> </w:t>
      </w:r>
      <w:r w:rsidR="006547AA" w:rsidRPr="00A51C07">
        <w:rPr>
          <w:b/>
        </w:rPr>
        <w:t xml:space="preserve">rata </w:t>
      </w:r>
      <w:r w:rsidRPr="00A51C07">
        <w:t>+</w:t>
      </w:r>
      <w:r w:rsidR="00AC09A5" w:rsidRPr="00A51C07">
        <w:t xml:space="preserve"> 6% pension contribution</w:t>
      </w:r>
      <w:r w:rsidR="00AC09A5" w:rsidRPr="00A51C07">
        <w:tab/>
      </w:r>
      <w:r w:rsidR="00AC09A5">
        <w:tab/>
        <w:t xml:space="preserve">    </w:t>
      </w:r>
    </w:p>
    <w:p w:rsidR="00551D03" w:rsidRPr="00551D03" w:rsidRDefault="00551D03" w:rsidP="00551D03">
      <w:r w:rsidRPr="00551D03">
        <w:rPr>
          <w:b/>
        </w:rPr>
        <w:t>Location:</w:t>
      </w:r>
      <w:r w:rsidRPr="00551D03">
        <w:t xml:space="preserve"> </w:t>
      </w:r>
      <w:r w:rsidR="006547AA">
        <w:t xml:space="preserve">Bristol or </w:t>
      </w:r>
      <w:r w:rsidR="006547AA" w:rsidRPr="00A51C07">
        <w:t>F</w:t>
      </w:r>
      <w:r w:rsidR="00793414" w:rsidRPr="00A51C07">
        <w:t>lexible with home working</w:t>
      </w:r>
      <w:r w:rsidRPr="00A51C07">
        <w:br/>
      </w:r>
      <w:r w:rsidRPr="00A51C07">
        <w:rPr>
          <w:b/>
        </w:rPr>
        <w:t>Contract type:</w:t>
      </w:r>
      <w:r w:rsidRPr="00A51C07">
        <w:t xml:space="preserve"> </w:t>
      </w:r>
      <w:r w:rsidR="00742C75">
        <w:t>Full time, permanent</w:t>
      </w:r>
    </w:p>
    <w:p w:rsidR="00551D03" w:rsidRPr="00551D03" w:rsidRDefault="00551D03" w:rsidP="00551D03">
      <w:pPr>
        <w:rPr>
          <w:b/>
        </w:rPr>
      </w:pPr>
      <w:r w:rsidRPr="00551D03">
        <w:rPr>
          <w:b/>
        </w:rPr>
        <w:t>Benefits</w:t>
      </w:r>
    </w:p>
    <w:p w:rsidR="00551D03" w:rsidRPr="00A51C07" w:rsidRDefault="00551D03" w:rsidP="00551D03">
      <w:pPr>
        <w:pStyle w:val="BulletMike"/>
      </w:pPr>
      <w:r w:rsidRPr="00A51C07">
        <w:t xml:space="preserve">6% employer pension contribution </w:t>
      </w:r>
    </w:p>
    <w:p w:rsidR="00551D03" w:rsidRPr="00A51C07" w:rsidRDefault="00551D03" w:rsidP="00551D03">
      <w:pPr>
        <w:pStyle w:val="BulletMike"/>
      </w:pPr>
      <w:r w:rsidRPr="00A51C07">
        <w:t xml:space="preserve">25 </w:t>
      </w:r>
      <w:proofErr w:type="gramStart"/>
      <w:r w:rsidRPr="00A51C07">
        <w:t>days</w:t>
      </w:r>
      <w:proofErr w:type="gramEnd"/>
      <w:r w:rsidRPr="00A51C07">
        <w:t xml:space="preserve"> annual leave </w:t>
      </w:r>
      <w:r w:rsidR="006547AA" w:rsidRPr="00A51C07">
        <w:t xml:space="preserve">pro rata </w:t>
      </w:r>
      <w:r w:rsidRPr="00A51C07">
        <w:t>plus statutory bank holidays</w:t>
      </w:r>
    </w:p>
    <w:p w:rsidR="00551D03" w:rsidRPr="00A51C07" w:rsidRDefault="00551D03" w:rsidP="00551D03">
      <w:pPr>
        <w:pStyle w:val="BulletMike"/>
      </w:pPr>
      <w:r w:rsidRPr="00A51C07">
        <w:t xml:space="preserve">Employee assistance programme in place with free access to confidential, professional legal and health advice </w:t>
      </w:r>
    </w:p>
    <w:p w:rsidR="00551D03" w:rsidRPr="00A51C07" w:rsidRDefault="00551D03" w:rsidP="00551D03">
      <w:pPr>
        <w:pStyle w:val="BulletMike"/>
      </w:pPr>
      <w:r w:rsidRPr="00A51C07">
        <w:t>Cycle to work scheme</w:t>
      </w:r>
    </w:p>
    <w:p w:rsidR="00551D03" w:rsidRPr="00551D03" w:rsidRDefault="00551D03" w:rsidP="00551D03">
      <w:pPr>
        <w:rPr>
          <w:b/>
        </w:rPr>
      </w:pPr>
      <w:r w:rsidRPr="00551D03">
        <w:rPr>
          <w:b/>
        </w:rPr>
        <w:br/>
        <w:t>Meningitis Research Foundation:</w:t>
      </w:r>
      <w:r w:rsidRPr="00551D03">
        <w:t xml:space="preserve"> We are </w:t>
      </w:r>
      <w:r w:rsidR="0058014B">
        <w:t xml:space="preserve">a leading UK </w:t>
      </w:r>
      <w:r w:rsidRPr="00551D03">
        <w:t>and international charity that aims to improve the prevention, diagnosis and treatment of meningitis and septicaemia (also known as sepsis). It is an exciting time for the charity as we expand our reach and impact to meeting the challenges of meningitis and septicaemia wherever they exist in the world, and are set to play a role in developing a new global roadmap to defeat meningitis alongside major international public health organisations. </w:t>
      </w:r>
    </w:p>
    <w:p w:rsidR="003409B5" w:rsidRPr="009F103A" w:rsidRDefault="000B3509" w:rsidP="003409B5">
      <w:r w:rsidRPr="00551D03">
        <w:rPr>
          <w:b/>
        </w:rPr>
        <w:t>The candidate:</w:t>
      </w:r>
      <w:r>
        <w:t xml:space="preserve"> </w:t>
      </w:r>
      <w:r w:rsidR="003409B5" w:rsidRPr="009F103A">
        <w:t>We are seeking an enthusiastic, outgoing candidate who is passionate about fundraising</w:t>
      </w:r>
      <w:r w:rsidR="005A7AAC">
        <w:t xml:space="preserve"> and challenge events,</w:t>
      </w:r>
      <w:r w:rsidR="003409B5" w:rsidRPr="009F103A">
        <w:t xml:space="preserve"> especially within the student market. </w:t>
      </w:r>
      <w:r w:rsidR="003409B5">
        <w:t>You will</w:t>
      </w:r>
      <w:r w:rsidR="003409B5" w:rsidRPr="009F103A">
        <w:t xml:space="preserve"> be sociable and enjoy networking as the role will require relationship management</w:t>
      </w:r>
      <w:r w:rsidR="005A7AAC">
        <w:t xml:space="preserve">, be a </w:t>
      </w:r>
      <w:r w:rsidR="003409B5" w:rsidRPr="009F103A">
        <w:t>confident presenter and work well as part of a team.</w:t>
      </w:r>
    </w:p>
    <w:p w:rsidR="00551D03" w:rsidRPr="007D6840" w:rsidRDefault="00551D03" w:rsidP="003409B5">
      <w:pPr>
        <w:rPr>
          <w:rStyle w:val="Hyperlink"/>
          <w:rFonts w:ascii="Calibri" w:hAnsi="Calibri"/>
          <w:color w:val="1F497D"/>
          <w:u w:val="none"/>
        </w:rPr>
      </w:pPr>
      <w:r w:rsidRPr="00034763">
        <w:rPr>
          <w:rFonts w:eastAsiaTheme="majorEastAsia"/>
          <w:b/>
        </w:rPr>
        <w:t>The application process:</w:t>
      </w:r>
      <w:r>
        <w:t xml:space="preserve"> </w:t>
      </w:r>
      <w:r w:rsidRPr="00E676CE">
        <w:t>The closing da</w:t>
      </w:r>
      <w:r w:rsidR="007A300C">
        <w:t>te for completed application is midday Friday 18</w:t>
      </w:r>
      <w:r w:rsidR="007A300C" w:rsidRPr="007A300C">
        <w:rPr>
          <w:vertAlign w:val="superscript"/>
        </w:rPr>
        <w:t>th</w:t>
      </w:r>
      <w:r w:rsidR="007A300C">
        <w:t xml:space="preserve"> December 2020</w:t>
      </w:r>
      <w:r w:rsidR="006D3C81" w:rsidRPr="00A51C07">
        <w:t>.</w:t>
      </w:r>
      <w:r w:rsidR="007D6840" w:rsidRPr="00A51C07">
        <w:rPr>
          <w:rFonts w:ascii="Calibri" w:hAnsi="Calibri"/>
        </w:rPr>
        <w:t xml:space="preserve"> </w:t>
      </w:r>
      <w:r w:rsidR="00F160D7" w:rsidRPr="00A51C07">
        <w:t>Interviews will be held</w:t>
      </w:r>
      <w:r w:rsidR="006547AA" w:rsidRPr="00A51C07">
        <w:t xml:space="preserve"> by zoom</w:t>
      </w:r>
      <w:r w:rsidR="00F160D7" w:rsidRPr="00A51C07">
        <w:t xml:space="preserve"> </w:t>
      </w:r>
      <w:r w:rsidR="0058014B" w:rsidRPr="00A51C07">
        <w:t xml:space="preserve">on </w:t>
      </w:r>
      <w:r w:rsidR="007A300C" w:rsidRPr="007A300C">
        <w:t>Monday 21</w:t>
      </w:r>
      <w:r w:rsidR="007A300C" w:rsidRPr="007A300C">
        <w:rPr>
          <w:vertAlign w:val="superscript"/>
        </w:rPr>
        <w:t>st</w:t>
      </w:r>
      <w:r w:rsidR="007A300C" w:rsidRPr="007A300C">
        <w:t xml:space="preserve"> December</w:t>
      </w:r>
      <w:r w:rsidR="0058014B" w:rsidRPr="00A51C07">
        <w:t xml:space="preserve">, </w:t>
      </w:r>
      <w:r w:rsidR="00F160D7" w:rsidRPr="00A51C07">
        <w:t xml:space="preserve">please </w:t>
      </w:r>
      <w:r w:rsidR="00F160D7" w:rsidRPr="00E676CE">
        <w:t>be available for th</w:t>
      </w:r>
      <w:r w:rsidR="0058014B">
        <w:t>is date</w:t>
      </w:r>
      <w:r w:rsidR="00F160D7" w:rsidRPr="00E676CE">
        <w:t xml:space="preserve"> if shortlisted for interview.</w:t>
      </w:r>
      <w:r w:rsidR="007A300C">
        <w:t xml:space="preserve"> The interview will also include a presentation task, the details of which you will be informed of if shortlisted. I</w:t>
      </w:r>
      <w:r w:rsidRPr="00E676CE">
        <w:t xml:space="preserve">f you have any questions or would like to discuss the role </w:t>
      </w:r>
      <w:proofErr w:type="gramStart"/>
      <w:r w:rsidRPr="00E676CE">
        <w:t>further</w:t>
      </w:r>
      <w:proofErr w:type="gramEnd"/>
      <w:r w:rsidRPr="00E676CE">
        <w:t xml:space="preserve"> please </w:t>
      </w:r>
      <w:r w:rsidR="005A7AAC">
        <w:t>call 0333 4056</w:t>
      </w:r>
      <w:r w:rsidR="00742C75">
        <w:t xml:space="preserve"> </w:t>
      </w:r>
      <w:r w:rsidR="005A7AAC">
        <w:t>2</w:t>
      </w:r>
      <w:r w:rsidR="00742C75">
        <w:t>41</w:t>
      </w:r>
      <w:r w:rsidR="006D3C81">
        <w:t>.</w:t>
      </w:r>
      <w:bookmarkStart w:id="0" w:name="_GoBack"/>
      <w:bookmarkEnd w:id="0"/>
    </w:p>
    <w:p w:rsidR="00551D03" w:rsidRDefault="00E676CE" w:rsidP="00E676CE">
      <w:r>
        <w:t xml:space="preserve">Please return application </w:t>
      </w:r>
      <w:r w:rsidR="00551D03">
        <w:t xml:space="preserve">forms via e-mail to </w:t>
      </w:r>
      <w:hyperlink r:id="rId9" w:history="1">
        <w:r w:rsidR="00701DC7" w:rsidRPr="00097F47">
          <w:rPr>
            <w:rStyle w:val="Hyperlink"/>
            <w:rFonts w:eastAsiaTheme="majorEastAsia"/>
          </w:rPr>
          <w:t>carolc@meningitis.org</w:t>
        </w:r>
      </w:hyperlink>
      <w:r w:rsidR="006D3C81">
        <w:t xml:space="preserve">. </w:t>
      </w:r>
      <w:r w:rsidR="00551D03">
        <w:t xml:space="preserve">Please be advised that CVs alone will not be considered. </w:t>
      </w:r>
    </w:p>
    <w:p w:rsidR="00551D03" w:rsidRDefault="00551D03" w:rsidP="00E676CE">
      <w:r>
        <w:t xml:space="preserve">Following receipt of satisfactory </w:t>
      </w:r>
      <w:r w:rsidR="0058014B">
        <w:t>references,</w:t>
      </w:r>
      <w:r>
        <w:t xml:space="preserve"> t</w:t>
      </w:r>
      <w:r w:rsidRPr="00AC71C8">
        <w:t>he successful candidate will</w:t>
      </w:r>
      <w:r w:rsidR="006D3C81">
        <w:t xml:space="preserve"> </w:t>
      </w:r>
      <w:r w:rsidR="007A300C">
        <w:t>need to start the role in early January 2021</w:t>
      </w:r>
      <w:r w:rsidR="0058014B" w:rsidRPr="00742C75">
        <w:rPr>
          <w:color w:val="FF0000"/>
        </w:rPr>
        <w:t xml:space="preserve">. </w:t>
      </w:r>
    </w:p>
    <w:p w:rsidR="00551D03" w:rsidRDefault="00551D03" w:rsidP="00551D03">
      <w:pPr>
        <w:pStyle w:val="ListBullet"/>
        <w:tabs>
          <w:tab w:val="clear" w:pos="360"/>
          <w:tab w:val="clear" w:pos="4253"/>
          <w:tab w:val="clear" w:pos="8505"/>
          <w:tab w:val="right" w:pos="2268"/>
          <w:tab w:val="center" w:pos="4962"/>
          <w:tab w:val="right" w:pos="9746"/>
        </w:tabs>
        <w:ind w:left="0" w:firstLine="0"/>
        <w:jc w:val="both"/>
      </w:pPr>
    </w:p>
    <w:p w:rsidR="00593E3F" w:rsidRPr="005E78D7" w:rsidRDefault="00593E3F" w:rsidP="00551D03">
      <w:pPr>
        <w:pStyle w:val="Heading3"/>
      </w:pPr>
      <w:r>
        <w:t xml:space="preserve">MRF is committed to safeguarding, any advertised role will require references and confirmation of your identity will be undertaken. Specific roles will state if there is a requirement for </w:t>
      </w:r>
      <w:r w:rsidR="00512125">
        <w:t>further</w:t>
      </w:r>
      <w:r>
        <w:t xml:space="preserve"> checks.</w:t>
      </w:r>
    </w:p>
    <w:p w:rsidR="00593E3F" w:rsidRPr="00593E3F" w:rsidRDefault="00593E3F" w:rsidP="000B3509">
      <w:pPr>
        <w:rPr>
          <w:b/>
        </w:rPr>
      </w:pPr>
    </w:p>
    <w:p w:rsidR="000B3509" w:rsidRDefault="000B3509" w:rsidP="000B3509"/>
    <w:p w:rsidR="000B3509" w:rsidRDefault="000B3509" w:rsidP="00E00162">
      <w:pPr>
        <w:pStyle w:val="Heading1"/>
      </w:pPr>
      <w:r>
        <w:lastRenderedPageBreak/>
        <w:t>About Meningitis Research Foundation</w:t>
      </w:r>
    </w:p>
    <w:p w:rsidR="005D6B25" w:rsidRPr="007057F6" w:rsidRDefault="005D6B25" w:rsidP="005D6B25">
      <w:r w:rsidRPr="00E646C1">
        <w:t>Meningitis Research Foundation is a leading UK and international charity working to defeat meningitis wherever it exists.</w:t>
      </w:r>
      <w:r w:rsidRPr="00E646C1">
        <w:br/>
        <w:t> </w:t>
      </w:r>
      <w:r w:rsidRPr="00E646C1">
        <w:br/>
        <w:t>Meningitis and sepsis are together the second biggest infectious killer of children under the age of 5 globally. It strikes quickly and can affect anyone of any age. We are driven by the call of people who have experienced the devastating effects in their lives. Their demand is simple and powerful - to ensure “no other family has to go through what we have”.</w:t>
      </w:r>
      <w:r w:rsidRPr="00E646C1">
        <w:br/>
        <w:t> </w:t>
      </w:r>
      <w:r w:rsidRPr="00E646C1">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rsidRPr="00E646C1">
        <w:br/>
        <w:t> </w:t>
      </w:r>
      <w:r w:rsidRPr="00E646C1">
        <w:br/>
        <w:t xml:space="preserve">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w:t>
      </w:r>
      <w:proofErr w:type="spellStart"/>
      <w:r w:rsidRPr="00E646C1">
        <w:t>optimise</w:t>
      </w:r>
      <w:proofErr w:type="spellEnd"/>
      <w:r w:rsidRPr="00E646C1">
        <w:t xml:space="preserve"> treatments and strengthen health systems.</w:t>
      </w:r>
      <w:r w:rsidRPr="00E646C1">
        <w:br/>
      </w:r>
      <w:r w:rsidRPr="00E646C1">
        <w:br/>
        <w:t>We provide direct support to people and families affected. We believe that working in partnership the knowledge, experience, skills and finance available from the private sector are essential to achieving long term and sustainable impacts. We fundraise, inform and educate.</w:t>
      </w:r>
      <w:r w:rsidRPr="00E646C1">
        <w:br/>
        <w:t> </w:t>
      </w:r>
      <w:r w:rsidRPr="00E646C1">
        <w:br/>
      </w:r>
      <w:r w:rsidR="006643DD">
        <w:t>For</w:t>
      </w:r>
      <w:r w:rsidRPr="00E646C1">
        <w:t xml:space="preserve"> 30 years we have played an instrumental role in helping to reduce death and impairment from meningitis and septicaemia wherever it exists. To achieve this, our incredible supporters have enabled us to fund research in the UK, Europe, North and South America, Sub-Saha</w:t>
      </w:r>
      <w:r w:rsidR="00BB72F3">
        <w:t>ran Africa, and Australasia.</w:t>
      </w:r>
    </w:p>
    <w:p w:rsidR="005D6B25" w:rsidRDefault="005D6B25" w:rsidP="005D6B25">
      <w:pPr>
        <w:jc w:val="both"/>
      </w:pPr>
      <w:r w:rsidRPr="007057F6">
        <w:t xml:space="preserve">We have enabled the initiation of new global roadmap to defeat meningitis by 2030 following a high-level meeting hosted by Wilton Park and </w:t>
      </w:r>
      <w:proofErr w:type="spellStart"/>
      <w:r w:rsidRPr="007057F6">
        <w:t>organised</w:t>
      </w:r>
      <w:proofErr w:type="spellEnd"/>
      <w:r w:rsidRPr="007057F6">
        <w:t xml:space="preserve"> by MRF in collaboration with the World Health Organisation (WHO). The meeting united experts, patient groups and representatives from countries most affected behind a call for global action. MRF was asked to be part of an expert Task Force by the WHO to take this process forward.</w:t>
      </w:r>
    </w:p>
    <w:p w:rsidR="005D6B25" w:rsidRDefault="005D6B25" w:rsidP="005D6B25">
      <w:pPr>
        <w:jc w:val="both"/>
      </w:pPr>
      <w:r>
        <w:t>We have also acquired funding to help boost advocacy capacity internationally by helping to strengthening the skills of other patient groups.</w:t>
      </w:r>
    </w:p>
    <w:p w:rsidR="005D6B25" w:rsidRPr="00E646C1" w:rsidRDefault="005D6B25" w:rsidP="005D6B25">
      <w:pPr>
        <w:jc w:val="both"/>
      </w:pPr>
      <w:r w:rsidRPr="00E646C1">
        <w:br/>
        <w:t xml:space="preserve">More information on MRF can be found in our </w:t>
      </w:r>
      <w:hyperlink r:id="rId10" w:history="1">
        <w:r w:rsidRPr="00E646C1">
          <w:rPr>
            <w:rStyle w:val="Hyperlink"/>
            <w:color w:val="7030A0"/>
          </w:rPr>
          <w:t>2017-2020 organisational strategy</w:t>
        </w:r>
      </w:hyperlink>
      <w:r w:rsidRPr="00E646C1">
        <w:t xml:space="preserve"> and on our </w:t>
      </w:r>
      <w:hyperlink r:id="rId11" w:history="1">
        <w:r w:rsidRPr="00E646C1">
          <w:rPr>
            <w:rStyle w:val="Hyperlink"/>
            <w:color w:val="7030A0"/>
          </w:rPr>
          <w:t>website</w:t>
        </w:r>
      </w:hyperlink>
      <w:r w:rsidRPr="00E646C1">
        <w:t>.</w:t>
      </w:r>
    </w:p>
    <w:p w:rsidR="000B3509" w:rsidRDefault="000B3509" w:rsidP="000B3509"/>
    <w:p w:rsidR="000B3509" w:rsidRDefault="000B3509" w:rsidP="000B3509">
      <w:r>
        <w:t> </w:t>
      </w:r>
    </w:p>
    <w:p w:rsidR="000B3509" w:rsidRDefault="000B3509">
      <w:pPr>
        <w:tabs>
          <w:tab w:val="clear" w:pos="567"/>
          <w:tab w:val="clear" w:pos="1134"/>
          <w:tab w:val="clear" w:pos="1701"/>
          <w:tab w:val="clear" w:pos="2268"/>
        </w:tabs>
        <w:spacing w:before="0"/>
      </w:pPr>
      <w:r>
        <w:br w:type="page"/>
      </w:r>
    </w:p>
    <w:p w:rsidR="000B3509" w:rsidRDefault="000B3509" w:rsidP="000B3509">
      <w:pPr>
        <w:pStyle w:val="Heading1"/>
      </w:pPr>
      <w:r>
        <w:lastRenderedPageBreak/>
        <w:t>Job Description</w:t>
      </w:r>
      <w:r w:rsidR="00C2410F">
        <w:t xml:space="preserve"> </w:t>
      </w:r>
      <w:r w:rsidR="007D6840">
        <w:t>–</w:t>
      </w:r>
      <w:r w:rsidR="00C2410F">
        <w:rPr>
          <w:color w:val="FF0000"/>
          <w:sz w:val="26"/>
        </w:rPr>
        <w:t xml:space="preserve"> </w:t>
      </w:r>
      <w:r w:rsidR="00BF7CB7">
        <w:t>Events Fundraiser</w:t>
      </w:r>
    </w:p>
    <w:p w:rsidR="000B3509" w:rsidRDefault="000B3509" w:rsidP="000B3509">
      <w:pPr>
        <w:pStyle w:val="Heading2"/>
      </w:pPr>
      <w:r>
        <w:t>Context</w:t>
      </w:r>
    </w:p>
    <w:p w:rsidR="007D6840" w:rsidRDefault="007D6840" w:rsidP="007D6840">
      <w:r w:rsidRPr="009F103A">
        <w:t xml:space="preserve">This post is part of the student fundraising team. You will work with universities across the UK to maintain relationships with university partners and </w:t>
      </w:r>
      <w:r w:rsidR="005A7AAC">
        <w:t xml:space="preserve">recruit student </w:t>
      </w:r>
      <w:r w:rsidR="006547AA">
        <w:t>volunteers to</w:t>
      </w:r>
      <w:r w:rsidR="005A7AAC">
        <w:t xml:space="preserve"> take part in international and UK</w:t>
      </w:r>
      <w:r w:rsidR="006547AA">
        <w:t xml:space="preserve"> fundraising</w:t>
      </w:r>
      <w:r w:rsidR="005A7AAC">
        <w:t xml:space="preserve"> challenges.</w:t>
      </w:r>
    </w:p>
    <w:p w:rsidR="006547AA" w:rsidRPr="009F103A" w:rsidRDefault="006547AA" w:rsidP="007D6840">
      <w:r>
        <w:t xml:space="preserve">Meningitis Research Foundation is based in Bristol but the role is flexible and is open to anyone wishing to work from home. </w:t>
      </w:r>
    </w:p>
    <w:p w:rsidR="000B3509" w:rsidRDefault="000B3509" w:rsidP="000B3509">
      <w:pPr>
        <w:pStyle w:val="Heading2"/>
      </w:pPr>
      <w:r>
        <w:t>Purpose</w:t>
      </w:r>
    </w:p>
    <w:p w:rsidR="007D6840" w:rsidRPr="007D6840" w:rsidRDefault="007D6840" w:rsidP="007D6840">
      <w:r>
        <w:t xml:space="preserve">To work as part of our </w:t>
      </w:r>
      <w:r w:rsidR="006547AA">
        <w:t>events</w:t>
      </w:r>
      <w:r>
        <w:t xml:space="preserve"> fundraising team in organising, recruiting and resourcing our student overseas treks and other student events. </w:t>
      </w:r>
    </w:p>
    <w:p w:rsidR="000B3509" w:rsidRDefault="000B3509" w:rsidP="000B3509">
      <w:pPr>
        <w:pStyle w:val="Heading2"/>
      </w:pPr>
      <w:r>
        <w:t>Reports to</w:t>
      </w:r>
    </w:p>
    <w:p w:rsidR="007D6840" w:rsidRPr="007D6840" w:rsidRDefault="007D6840" w:rsidP="007D6840">
      <w:r>
        <w:t xml:space="preserve">The </w:t>
      </w:r>
      <w:r w:rsidR="005A7AAC">
        <w:t xml:space="preserve">Senior </w:t>
      </w:r>
      <w:r>
        <w:t xml:space="preserve">Fundraising </w:t>
      </w:r>
      <w:r w:rsidRPr="009F103A">
        <w:t>Manager will be responsible for your post and will ensure you have been given appropriate responsibilities and tasks. This will include monitoring your performance, ensuring you are well supported, and providing feedback as you progress.</w:t>
      </w:r>
    </w:p>
    <w:p w:rsidR="000B3509" w:rsidRDefault="000B3509" w:rsidP="000B3509">
      <w:pPr>
        <w:pStyle w:val="Heading2"/>
      </w:pPr>
      <w:r>
        <w:t>Responsibilities</w:t>
      </w:r>
    </w:p>
    <w:p w:rsidR="00742C75" w:rsidRPr="0049592C" w:rsidRDefault="00742C75" w:rsidP="00742C75">
      <w:pPr>
        <w:pStyle w:val="Heading3"/>
      </w:pPr>
      <w:r w:rsidRPr="0049592C">
        <w:t>Key tasks and fundraising activities to be undertaken with appropriate support</w:t>
      </w:r>
    </w:p>
    <w:p w:rsidR="00742C75" w:rsidRPr="00A14178" w:rsidRDefault="00742C75" w:rsidP="00742C75">
      <w:pPr>
        <w:pStyle w:val="bullet"/>
      </w:pPr>
      <w:r w:rsidRPr="00A14178">
        <w:t>Attending meetings and presenting to student groups across the UK</w:t>
      </w:r>
    </w:p>
    <w:p w:rsidR="00742C75" w:rsidRPr="00A14178" w:rsidRDefault="00742C75" w:rsidP="00742C75">
      <w:pPr>
        <w:pStyle w:val="bullet"/>
      </w:pPr>
      <w:r w:rsidRPr="00A14178">
        <w:t xml:space="preserve">Promoting </w:t>
      </w:r>
      <w:r>
        <w:t>the MRF student programme to u</w:t>
      </w:r>
      <w:r w:rsidRPr="00A14178">
        <w:t>niversities across the country, develop</w:t>
      </w:r>
      <w:r>
        <w:t>ing and building relationships</w:t>
      </w:r>
    </w:p>
    <w:p w:rsidR="00742C75" w:rsidRPr="00A14178" w:rsidRDefault="00742C75" w:rsidP="00742C75">
      <w:pPr>
        <w:pStyle w:val="bullet"/>
      </w:pPr>
      <w:r w:rsidRPr="00A14178">
        <w:t xml:space="preserve">Promotion </w:t>
      </w:r>
      <w:r>
        <w:t>and recruitment of student c</w:t>
      </w:r>
      <w:r w:rsidRPr="00A14178">
        <w:t>hallenge events both fac</w:t>
      </w:r>
      <w:r>
        <w:t>e to face and via the telephone</w:t>
      </w:r>
      <w:r w:rsidRPr="00A14178">
        <w:t xml:space="preserve"> </w:t>
      </w:r>
    </w:p>
    <w:p w:rsidR="00742C75" w:rsidRPr="00A14178" w:rsidRDefault="00742C75" w:rsidP="00742C75">
      <w:pPr>
        <w:pStyle w:val="bullet"/>
      </w:pPr>
      <w:r w:rsidRPr="00A14178">
        <w:t>Provide account management for university partners</w:t>
      </w:r>
    </w:p>
    <w:p w:rsidR="00742C75" w:rsidRPr="00A14178" w:rsidRDefault="00742C75" w:rsidP="00742C75">
      <w:pPr>
        <w:pStyle w:val="bullet"/>
      </w:pPr>
      <w:r w:rsidRPr="00A14178">
        <w:t>Provide donor care and support for s</w:t>
      </w:r>
      <w:r>
        <w:t>tudent challenge participants</w:t>
      </w:r>
    </w:p>
    <w:p w:rsidR="00742C75" w:rsidRPr="00A14178" w:rsidRDefault="00742C75" w:rsidP="00742C75">
      <w:pPr>
        <w:pStyle w:val="bullet"/>
      </w:pPr>
      <w:r w:rsidRPr="00A14178">
        <w:t>Maintain simple records of financial</w:t>
      </w:r>
      <w:r>
        <w:t xml:space="preserve"> information relating to events</w:t>
      </w:r>
    </w:p>
    <w:p w:rsidR="00742C75" w:rsidRPr="00A14178" w:rsidRDefault="00742C75" w:rsidP="00742C75">
      <w:pPr>
        <w:pStyle w:val="bullet"/>
      </w:pPr>
      <w:r>
        <w:t>Produce progress reports</w:t>
      </w:r>
    </w:p>
    <w:p w:rsidR="00742C75" w:rsidRPr="00A14178" w:rsidRDefault="00742C75" w:rsidP="00742C75">
      <w:pPr>
        <w:pStyle w:val="bullet"/>
      </w:pPr>
      <w:r w:rsidRPr="00A14178">
        <w:t>Identify and implement ways of solving problems a</w:t>
      </w:r>
      <w:r>
        <w:t>nd exploiting new opportunities</w:t>
      </w:r>
    </w:p>
    <w:p w:rsidR="00742C75" w:rsidRDefault="00742C75" w:rsidP="00742C75">
      <w:pPr>
        <w:pStyle w:val="bullet"/>
      </w:pPr>
      <w:r w:rsidRPr="00A14178">
        <w:t>Provide assistance in the running of other fund</w:t>
      </w:r>
      <w:r>
        <w:t>raising events and activities</w:t>
      </w:r>
    </w:p>
    <w:p w:rsidR="00742C75" w:rsidRPr="00A14178" w:rsidRDefault="00742C75" w:rsidP="00742C75">
      <w:pPr>
        <w:pStyle w:val="Heading3"/>
        <w:rPr>
          <w:b/>
          <w:color w:val="595959" w:themeColor="text1" w:themeTint="A6"/>
        </w:rPr>
      </w:pPr>
      <w:r w:rsidRPr="00A14178">
        <w:rPr>
          <w:color w:val="595959" w:themeColor="text1" w:themeTint="A6"/>
        </w:rPr>
        <w:t>General, personal &amp; developmental</w:t>
      </w:r>
    </w:p>
    <w:p w:rsidR="00742C75" w:rsidRPr="006B2A65" w:rsidRDefault="00742C75" w:rsidP="00742C75">
      <w:pPr>
        <w:pStyle w:val="bullet"/>
      </w:pPr>
      <w:r w:rsidRPr="006B2A65">
        <w:t>Contribute to internal newsletters and supporter communications.</w:t>
      </w:r>
    </w:p>
    <w:p w:rsidR="00742C75" w:rsidRPr="006B2A65" w:rsidRDefault="00742C75" w:rsidP="00742C75">
      <w:pPr>
        <w:pStyle w:val="bullet"/>
      </w:pPr>
      <w:r w:rsidRPr="006B2A65">
        <w:t>Maintain required rec</w:t>
      </w:r>
      <w:r>
        <w:t>ords of supporter relationships</w:t>
      </w:r>
    </w:p>
    <w:p w:rsidR="00742C75" w:rsidRPr="006B2A65" w:rsidRDefault="00742C75" w:rsidP="00742C75">
      <w:pPr>
        <w:pStyle w:val="bullet"/>
      </w:pPr>
      <w:r w:rsidRPr="006B2A65">
        <w:t>Support all colleagues and communicate your work and needs openly and effectively.</w:t>
      </w:r>
    </w:p>
    <w:p w:rsidR="00742C75" w:rsidRPr="006B2A65" w:rsidRDefault="00742C75" w:rsidP="00742C75">
      <w:pPr>
        <w:pStyle w:val="bullet"/>
      </w:pPr>
      <w:r w:rsidRPr="006B2A65">
        <w:t>Establish efficient and effective working relationships and communication with int</w:t>
      </w:r>
      <w:r>
        <w:t>ernal and external stakeholders</w:t>
      </w:r>
    </w:p>
    <w:p w:rsidR="00742C75" w:rsidRPr="006B2A65" w:rsidRDefault="00742C75" w:rsidP="00742C75">
      <w:pPr>
        <w:pStyle w:val="bullet"/>
      </w:pPr>
      <w:r w:rsidRPr="006B2A65">
        <w:t>Take responsibility for own development and training needs, in consultation with line manager.</w:t>
      </w:r>
    </w:p>
    <w:p w:rsidR="00742C75" w:rsidRPr="006B2A65" w:rsidRDefault="00742C75" w:rsidP="00742C75">
      <w:pPr>
        <w:pStyle w:val="bullet"/>
      </w:pPr>
      <w:r w:rsidRPr="006B2A65">
        <w:t xml:space="preserve">Keep abreast of the </w:t>
      </w:r>
      <w:r>
        <w:t>charity</w:t>
      </w:r>
      <w:r w:rsidRPr="006B2A65">
        <w:t>’s work programmes, and of current developments in the fiel</w:t>
      </w:r>
      <w:r>
        <w:t>d of meningitis and septicaemia</w:t>
      </w:r>
    </w:p>
    <w:p w:rsidR="00742C75" w:rsidRDefault="00742C75" w:rsidP="00742C75">
      <w:pPr>
        <w:pStyle w:val="bullet"/>
      </w:pPr>
      <w:r>
        <w:lastRenderedPageBreak/>
        <w:t>Frequent travel to universities in the UK, some overnight stays. (Expenses and time off in lieu for approved work away from the office in line with charity guidelines)</w:t>
      </w:r>
    </w:p>
    <w:p w:rsidR="000B3509" w:rsidRPr="00F16370" w:rsidRDefault="000B3509" w:rsidP="00F16370">
      <w:pPr>
        <w:pStyle w:val="Heading1"/>
      </w:pPr>
      <w:r>
        <w:t>Person Specification</w:t>
      </w:r>
    </w:p>
    <w:tbl>
      <w:tblPr>
        <w:tblStyle w:val="TableGrid"/>
        <w:tblW w:w="9493" w:type="dxa"/>
        <w:tblLayout w:type="fixed"/>
        <w:tblLook w:val="04A0" w:firstRow="1" w:lastRow="0" w:firstColumn="1" w:lastColumn="0" w:noHBand="0" w:noVBand="1"/>
      </w:tblPr>
      <w:tblGrid>
        <w:gridCol w:w="1819"/>
        <w:gridCol w:w="6398"/>
        <w:gridCol w:w="1276"/>
      </w:tblGrid>
      <w:tr w:rsidR="00742C75" w:rsidTr="00FA200B">
        <w:tc>
          <w:tcPr>
            <w:tcW w:w="8217" w:type="dxa"/>
            <w:gridSpan w:val="2"/>
          </w:tcPr>
          <w:p w:rsidR="00742C75" w:rsidRDefault="00742C75" w:rsidP="00FA200B"/>
        </w:tc>
        <w:tc>
          <w:tcPr>
            <w:tcW w:w="1276" w:type="dxa"/>
          </w:tcPr>
          <w:p w:rsidR="00742C75" w:rsidRPr="00953303" w:rsidRDefault="00742C75" w:rsidP="00FA200B">
            <w:r w:rsidRPr="00953303">
              <w:rPr>
                <w:rFonts w:eastAsiaTheme="majorEastAsia" w:cstheme="majorBidi"/>
                <w:color w:val="00A3AD"/>
                <w:sz w:val="22"/>
                <w:szCs w:val="22"/>
              </w:rPr>
              <w:t>Essential / Desirable</w:t>
            </w:r>
            <w:r>
              <w:t xml:space="preserve"> </w:t>
            </w:r>
          </w:p>
        </w:tc>
      </w:tr>
      <w:tr w:rsidR="00742C75" w:rsidTr="00FA200B">
        <w:tc>
          <w:tcPr>
            <w:tcW w:w="1819" w:type="dxa"/>
            <w:vMerge w:val="restart"/>
          </w:tcPr>
          <w:p w:rsidR="00742C75" w:rsidRPr="00953303" w:rsidRDefault="00742C75" w:rsidP="00FA200B">
            <w:pPr>
              <w:pStyle w:val="Heading2"/>
              <w:outlineLvl w:val="1"/>
              <w:rPr>
                <w:sz w:val="22"/>
                <w:szCs w:val="22"/>
              </w:rPr>
            </w:pPr>
            <w:r w:rsidRPr="00953303">
              <w:rPr>
                <w:sz w:val="22"/>
                <w:szCs w:val="22"/>
              </w:rPr>
              <w:t>Training, Experience and Qualifications</w:t>
            </w:r>
            <w:r>
              <w:rPr>
                <w:sz w:val="22"/>
                <w:szCs w:val="22"/>
              </w:rPr>
              <w:t xml:space="preserve">  </w:t>
            </w:r>
          </w:p>
        </w:tc>
        <w:tc>
          <w:tcPr>
            <w:tcW w:w="6398" w:type="dxa"/>
          </w:tcPr>
          <w:p w:rsidR="00742C75" w:rsidRDefault="00742C75" w:rsidP="00FA200B">
            <w:r>
              <w:t>Experience of working with rags or university societies</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rsidRPr="00FC133F">
              <w:t>Educated to degree level or equivalent</w:t>
            </w:r>
          </w:p>
        </w:tc>
        <w:tc>
          <w:tcPr>
            <w:tcW w:w="1276" w:type="dxa"/>
          </w:tcPr>
          <w:p w:rsidR="00742C75" w:rsidRDefault="00742C75" w:rsidP="00FA200B">
            <w:r>
              <w:t>D</w:t>
            </w:r>
          </w:p>
        </w:tc>
      </w:tr>
      <w:tr w:rsidR="00742C75" w:rsidTr="00FA200B">
        <w:tc>
          <w:tcPr>
            <w:tcW w:w="1819" w:type="dxa"/>
            <w:vMerge/>
          </w:tcPr>
          <w:p w:rsidR="00742C75" w:rsidRDefault="00742C75" w:rsidP="00FA200B"/>
        </w:tc>
        <w:tc>
          <w:tcPr>
            <w:tcW w:w="6398" w:type="dxa"/>
          </w:tcPr>
          <w:p w:rsidR="00742C75" w:rsidRDefault="00742C75" w:rsidP="00FA200B">
            <w:r>
              <w:t xml:space="preserve">Experience of working within a non-profit </w:t>
            </w:r>
            <w:proofErr w:type="spellStart"/>
            <w:r>
              <w:t>organisation</w:t>
            </w:r>
            <w:proofErr w:type="spellEnd"/>
          </w:p>
        </w:tc>
        <w:tc>
          <w:tcPr>
            <w:tcW w:w="1276" w:type="dxa"/>
          </w:tcPr>
          <w:p w:rsidR="00742C75" w:rsidRDefault="00742C75" w:rsidP="00FA200B">
            <w:r>
              <w:t>D</w:t>
            </w:r>
          </w:p>
        </w:tc>
      </w:tr>
      <w:tr w:rsidR="00742C75" w:rsidTr="00FA200B">
        <w:tc>
          <w:tcPr>
            <w:tcW w:w="1819" w:type="dxa"/>
            <w:vMerge/>
          </w:tcPr>
          <w:p w:rsidR="00742C75" w:rsidRDefault="00742C75" w:rsidP="00FA200B"/>
        </w:tc>
        <w:tc>
          <w:tcPr>
            <w:tcW w:w="6398" w:type="dxa"/>
          </w:tcPr>
          <w:p w:rsidR="00742C75" w:rsidRDefault="00742C75" w:rsidP="00FA200B">
            <w:r>
              <w:t>Fundraising/sales and marketing</w:t>
            </w:r>
            <w:r w:rsidRPr="005B1987">
              <w:t xml:space="preserve"> experience</w:t>
            </w:r>
          </w:p>
        </w:tc>
        <w:tc>
          <w:tcPr>
            <w:tcW w:w="1276" w:type="dxa"/>
          </w:tcPr>
          <w:p w:rsidR="00742C75" w:rsidRDefault="00742C75" w:rsidP="00FA200B">
            <w:r>
              <w:t>D</w:t>
            </w:r>
          </w:p>
        </w:tc>
      </w:tr>
      <w:tr w:rsidR="00742C75" w:rsidTr="00FA200B">
        <w:tc>
          <w:tcPr>
            <w:tcW w:w="1819" w:type="dxa"/>
            <w:vMerge/>
          </w:tcPr>
          <w:p w:rsidR="00742C75" w:rsidRDefault="00742C75" w:rsidP="00FA200B"/>
        </w:tc>
        <w:tc>
          <w:tcPr>
            <w:tcW w:w="6398" w:type="dxa"/>
          </w:tcPr>
          <w:p w:rsidR="00742C75" w:rsidRDefault="00742C75" w:rsidP="00FA200B">
            <w:r>
              <w:t>Experience of charity challenges and/or marathons</w:t>
            </w:r>
          </w:p>
        </w:tc>
        <w:tc>
          <w:tcPr>
            <w:tcW w:w="1276" w:type="dxa"/>
          </w:tcPr>
          <w:p w:rsidR="00742C75" w:rsidRDefault="00742C75" w:rsidP="00FA200B">
            <w:r>
              <w:t>D</w:t>
            </w:r>
          </w:p>
        </w:tc>
      </w:tr>
      <w:tr w:rsidR="00742C75" w:rsidTr="00FA200B">
        <w:tc>
          <w:tcPr>
            <w:tcW w:w="1819" w:type="dxa"/>
            <w:vMerge w:val="restart"/>
          </w:tcPr>
          <w:p w:rsidR="00742C75" w:rsidRPr="00953303" w:rsidRDefault="00742C75" w:rsidP="00FA200B">
            <w:pPr>
              <w:pStyle w:val="Heading2"/>
              <w:outlineLvl w:val="1"/>
              <w:rPr>
                <w:sz w:val="22"/>
                <w:szCs w:val="22"/>
              </w:rPr>
            </w:pPr>
            <w:r w:rsidRPr="00953303">
              <w:rPr>
                <w:sz w:val="22"/>
                <w:szCs w:val="22"/>
              </w:rPr>
              <w:t>Knowledge and Skills</w:t>
            </w:r>
          </w:p>
        </w:tc>
        <w:tc>
          <w:tcPr>
            <w:tcW w:w="6398" w:type="dxa"/>
          </w:tcPr>
          <w:p w:rsidR="00742C75" w:rsidRDefault="00742C75" w:rsidP="00FA200B">
            <w:r w:rsidRPr="0095309E">
              <w:t>Working</w:t>
            </w:r>
            <w:r>
              <w:t xml:space="preserve"> knowledge of social media</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rsidRPr="00FC133F">
              <w:t xml:space="preserve">Good </w:t>
            </w:r>
            <w:proofErr w:type="spellStart"/>
            <w:r w:rsidRPr="00FC133F">
              <w:t>organisational</w:t>
            </w:r>
            <w:proofErr w:type="spellEnd"/>
            <w:r w:rsidRPr="00FC133F">
              <w:t xml:space="preserve"> and administrative skills, able to </w:t>
            </w:r>
            <w:proofErr w:type="spellStart"/>
            <w:r w:rsidRPr="00FC133F">
              <w:t>prioritise</w:t>
            </w:r>
            <w:proofErr w:type="spellEnd"/>
            <w:r w:rsidRPr="00FC133F">
              <w:t>, juggle multiple tasks and work to deadlines</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rsidRPr="005B1987">
              <w:t>Excellent oral communicatio</w:t>
            </w:r>
            <w:r>
              <w:t xml:space="preserve">n </w:t>
            </w:r>
            <w:r w:rsidRPr="005B1987">
              <w:t>skills</w:t>
            </w:r>
            <w:r>
              <w:t>, strong networker and a confident, outgoing</w:t>
            </w:r>
            <w:r w:rsidRPr="005B1987">
              <w:t xml:space="preserve"> manner</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t>Good written communication skills</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pPr>
              <w:rPr>
                <w:rFonts w:cs="Times New Roman"/>
              </w:rPr>
            </w:pPr>
            <w:r>
              <w:t>A relaxed and confident manner both in a one-to-one and group settings</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t>IT competent. Particularly word processing, spreadsheets, and e-mail</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t>Self-motivated and abl</w:t>
            </w:r>
            <w:r w:rsidRPr="005B1987">
              <w:t>e to work on own initiative</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t>Excellent</w:t>
            </w:r>
            <w:r w:rsidRPr="005B1987">
              <w:t xml:space="preserve"> attention to detail</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rsidRPr="005B1987">
              <w:t xml:space="preserve">Numerate, able to understand </w:t>
            </w:r>
            <w:r>
              <w:t xml:space="preserve">and manage </w:t>
            </w:r>
            <w:r w:rsidRPr="005B1987">
              <w:t>financial information</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Default="00742C75" w:rsidP="00FA200B">
            <w:r>
              <w:t>T</w:t>
            </w:r>
            <w:r w:rsidRPr="00FC133F">
              <w:t>eam player with an ability to build effective working relationships</w:t>
            </w:r>
          </w:p>
        </w:tc>
        <w:tc>
          <w:tcPr>
            <w:tcW w:w="1276" w:type="dxa"/>
          </w:tcPr>
          <w:p w:rsidR="00742C75" w:rsidRDefault="00742C75" w:rsidP="00FA200B">
            <w:r>
              <w:t>E</w:t>
            </w:r>
          </w:p>
        </w:tc>
      </w:tr>
      <w:tr w:rsidR="00742C75" w:rsidTr="00FA200B">
        <w:tc>
          <w:tcPr>
            <w:tcW w:w="1819" w:type="dxa"/>
            <w:vMerge w:val="restart"/>
          </w:tcPr>
          <w:p w:rsidR="00742C75" w:rsidRDefault="00742C75" w:rsidP="00FA200B">
            <w:r w:rsidRPr="006F33B2">
              <w:rPr>
                <w:rFonts w:eastAsiaTheme="majorEastAsia" w:cstheme="majorBidi"/>
                <w:color w:val="00A3AD"/>
                <w:sz w:val="22"/>
                <w:szCs w:val="22"/>
              </w:rPr>
              <w:t>General</w:t>
            </w:r>
          </w:p>
        </w:tc>
        <w:tc>
          <w:tcPr>
            <w:tcW w:w="6398" w:type="dxa"/>
          </w:tcPr>
          <w:p w:rsidR="00742C75" w:rsidRDefault="00742C75" w:rsidP="00FA200B">
            <w:r>
              <w:t xml:space="preserve">Ability to work anti-social hours (evenings and weekends when required) </w:t>
            </w:r>
            <w:r w:rsidRPr="0095309E">
              <w:t>and at a high level of intensity</w:t>
            </w:r>
          </w:p>
        </w:tc>
        <w:tc>
          <w:tcPr>
            <w:tcW w:w="1276" w:type="dxa"/>
          </w:tcPr>
          <w:p w:rsidR="00742C75" w:rsidRDefault="00742C75" w:rsidP="00FA200B">
            <w:r>
              <w:t>E</w:t>
            </w:r>
          </w:p>
        </w:tc>
      </w:tr>
      <w:tr w:rsidR="00742C75" w:rsidTr="00FA200B">
        <w:tc>
          <w:tcPr>
            <w:tcW w:w="1819" w:type="dxa"/>
            <w:vMerge/>
          </w:tcPr>
          <w:p w:rsidR="00742C75" w:rsidRDefault="00742C75" w:rsidP="00FA200B"/>
        </w:tc>
        <w:tc>
          <w:tcPr>
            <w:tcW w:w="6398" w:type="dxa"/>
          </w:tcPr>
          <w:p w:rsidR="00742C75" w:rsidRPr="00FC133F" w:rsidRDefault="00742C75" w:rsidP="00FA200B">
            <w:pPr>
              <w:rPr>
                <w:rFonts w:cs="Times New Roman"/>
              </w:rPr>
            </w:pPr>
            <w:r w:rsidRPr="00FC133F">
              <w:rPr>
                <w:rFonts w:cs="Times New Roman"/>
              </w:rPr>
              <w:t xml:space="preserve">Full driving </w:t>
            </w:r>
            <w:proofErr w:type="spellStart"/>
            <w:r>
              <w:rPr>
                <w:rFonts w:cs="Times New Roman"/>
              </w:rPr>
              <w:t>licenc</w:t>
            </w:r>
            <w:r w:rsidRPr="00FC133F">
              <w:rPr>
                <w:rFonts w:cs="Times New Roman"/>
              </w:rPr>
              <w:t>e</w:t>
            </w:r>
            <w:proofErr w:type="spellEnd"/>
            <w:r>
              <w:rPr>
                <w:rFonts w:cs="Times New Roman"/>
              </w:rPr>
              <w:t xml:space="preserve"> and access to car</w:t>
            </w:r>
          </w:p>
        </w:tc>
        <w:tc>
          <w:tcPr>
            <w:tcW w:w="1276" w:type="dxa"/>
          </w:tcPr>
          <w:p w:rsidR="00742C75" w:rsidRDefault="00742C75" w:rsidP="00FA200B">
            <w:r>
              <w:t>D</w:t>
            </w:r>
          </w:p>
        </w:tc>
      </w:tr>
    </w:tbl>
    <w:p w:rsidR="0059553B" w:rsidRDefault="0059553B" w:rsidP="00953303"/>
    <w:p w:rsidR="00A6270E" w:rsidRPr="00F439F3" w:rsidRDefault="00A6270E" w:rsidP="00A6270E">
      <w:pPr>
        <w:pStyle w:val="BulletMike"/>
        <w:numPr>
          <w:ilvl w:val="0"/>
          <w:numId w:val="0"/>
        </w:numPr>
      </w:pPr>
      <w:r w:rsidRPr="00F439F3">
        <w:t>This job description should be taken as a general guide and the charity reserves the right to update and amend it in keeping with operational requirements, whi</w:t>
      </w:r>
      <w:r>
        <w:t>ch may change from time to time.</w:t>
      </w:r>
    </w:p>
    <w:p w:rsidR="00A6270E" w:rsidRDefault="00A6270E" w:rsidP="00A6270E"/>
    <w:p w:rsidR="00AC09A5" w:rsidRDefault="00AC09A5">
      <w:pPr>
        <w:tabs>
          <w:tab w:val="clear" w:pos="567"/>
          <w:tab w:val="clear" w:pos="1134"/>
          <w:tab w:val="clear" w:pos="1701"/>
          <w:tab w:val="clear" w:pos="2268"/>
        </w:tabs>
        <w:spacing w:before="0"/>
        <w:rPr>
          <w:rFonts w:eastAsiaTheme="majorEastAsia" w:cstheme="majorBidi"/>
          <w:color w:val="582C83"/>
          <w:sz w:val="28"/>
          <w:szCs w:val="28"/>
        </w:rPr>
      </w:pPr>
      <w:r>
        <w:br w:type="page"/>
      </w:r>
    </w:p>
    <w:p w:rsidR="000B3509" w:rsidRDefault="000B3509" w:rsidP="0059553B">
      <w:pPr>
        <w:pStyle w:val="Heading1"/>
      </w:pPr>
      <w:r>
        <w:lastRenderedPageBreak/>
        <w:t>Terms and Conditions - Essentials</w:t>
      </w:r>
    </w:p>
    <w:p w:rsidR="000B3509" w:rsidRDefault="000B3509" w:rsidP="0059553B">
      <w:pPr>
        <w:pStyle w:val="Heading2"/>
      </w:pPr>
      <w:r>
        <w:t>Location</w:t>
      </w:r>
    </w:p>
    <w:p w:rsidR="000B3509" w:rsidRPr="00A51C07" w:rsidRDefault="000B3509" w:rsidP="000B3509">
      <w:r w:rsidRPr="00A51C07">
        <w:t xml:space="preserve">Your normal place of work will be </w:t>
      </w:r>
      <w:r w:rsidR="00742C75">
        <w:t>at Head Office which is currently 10 Park Street, Bristol, BS1 5HX</w:t>
      </w:r>
      <w:r w:rsidR="00AC09A5" w:rsidRPr="00A51C07">
        <w:t xml:space="preserve"> </w:t>
      </w:r>
      <w:r w:rsidRPr="00A51C07">
        <w:t xml:space="preserve">with </w:t>
      </w:r>
      <w:r w:rsidR="00AC09A5" w:rsidRPr="00A51C07">
        <w:t>frequent travel to Universities across the UK. O</w:t>
      </w:r>
      <w:r w:rsidRPr="00A51C07">
        <w:t>ccasional work elsewhere including the UK and Republic of Ireland and potentially further afield depending on the post held.</w:t>
      </w:r>
    </w:p>
    <w:p w:rsidR="000B3509" w:rsidRDefault="000B3509" w:rsidP="0059553B">
      <w:pPr>
        <w:pStyle w:val="Heading2"/>
      </w:pPr>
      <w:r>
        <w:t>Salary</w:t>
      </w:r>
    </w:p>
    <w:p w:rsidR="000B3509" w:rsidRPr="00A51C07" w:rsidRDefault="00953303" w:rsidP="000B3509">
      <w:r w:rsidRPr="00A51C07">
        <w:t>£</w:t>
      </w:r>
      <w:r w:rsidR="00AC09A5" w:rsidRPr="00A51C07">
        <w:t xml:space="preserve">18,000 </w:t>
      </w:r>
      <w:r w:rsidR="006547AA" w:rsidRPr="00A51C07">
        <w:t>(pro rata)</w:t>
      </w:r>
      <w:r w:rsidR="00AC09A5" w:rsidRPr="00A51C07">
        <w:t xml:space="preserve"> </w:t>
      </w:r>
      <w:r w:rsidRPr="00A51C07">
        <w:t>including 2</w:t>
      </w:r>
      <w:r w:rsidR="000B3509" w:rsidRPr="00A51C07">
        <w:t xml:space="preserve">% employee pension contribution </w:t>
      </w:r>
      <w:r w:rsidRPr="00A51C07">
        <w:t>+ 6% employer</w:t>
      </w:r>
      <w:r w:rsidR="000B3509" w:rsidRPr="00A51C07">
        <w:t xml:space="preserve"> pension contribution. P</w:t>
      </w:r>
      <w:r w:rsidR="00E00162" w:rsidRPr="00A51C07">
        <w:t>aid in arrears on or around 25</w:t>
      </w:r>
      <w:r w:rsidR="00E00162" w:rsidRPr="00A51C07">
        <w:rPr>
          <w:vertAlign w:val="superscript"/>
        </w:rPr>
        <w:t>th</w:t>
      </w:r>
      <w:r w:rsidR="00E00162" w:rsidRPr="00A51C07">
        <w:t xml:space="preserve"> </w:t>
      </w:r>
      <w:r w:rsidR="000B3509" w:rsidRPr="00A51C07">
        <w:t>of each month.</w:t>
      </w:r>
    </w:p>
    <w:p w:rsidR="00742C75" w:rsidRDefault="00742C75" w:rsidP="00742C75">
      <w:pPr>
        <w:pStyle w:val="Heading2"/>
      </w:pPr>
      <w:r>
        <w:t>Contract Type</w:t>
      </w:r>
    </w:p>
    <w:p w:rsidR="00742C75" w:rsidRPr="00AC09A5" w:rsidRDefault="00742C75" w:rsidP="00742C75">
      <w:r>
        <w:t>Full time, permanent.</w:t>
      </w:r>
    </w:p>
    <w:p w:rsidR="00742C75" w:rsidRDefault="00742C75" w:rsidP="00742C75">
      <w:pPr>
        <w:pStyle w:val="Heading2"/>
      </w:pPr>
      <w:r>
        <w:t>Hours of Work</w:t>
      </w:r>
    </w:p>
    <w:p w:rsidR="00742C75" w:rsidRDefault="00742C75" w:rsidP="00742C75">
      <w:r>
        <w:t>36.25 hours between 8.00 am to 6.00 pm Monday to Friday, with frequent</w:t>
      </w:r>
      <w:r w:rsidRPr="00AC71C8">
        <w:t xml:space="preserve"> unsociable hours</w:t>
      </w:r>
      <w:r>
        <w:t>.</w:t>
      </w:r>
    </w:p>
    <w:p w:rsidR="00742C75" w:rsidRDefault="00742C75" w:rsidP="00742C75">
      <w:pPr>
        <w:pStyle w:val="Heading2"/>
      </w:pPr>
      <w:r>
        <w:t>Annual Leave</w:t>
      </w:r>
    </w:p>
    <w:p w:rsidR="00742C75" w:rsidRPr="006C538D" w:rsidRDefault="00742C75" w:rsidP="00742C75">
      <w:r>
        <w:rPr>
          <w:rFonts w:cs="Arial"/>
        </w:rPr>
        <w:t>2</w:t>
      </w:r>
      <w:r w:rsidRPr="00AC09A5">
        <w:rPr>
          <w:rFonts w:cs="Arial"/>
        </w:rPr>
        <w:t xml:space="preserve">5 </w:t>
      </w:r>
      <w:r w:rsidRPr="00AC09A5">
        <w:t xml:space="preserve">days </w:t>
      </w:r>
      <w:r w:rsidRPr="00953303">
        <w:t>+ statutory &amp; public holidays. The Charity’s holiday ye</w:t>
      </w:r>
      <w:r>
        <w:t>ar runs from 1</w:t>
      </w:r>
      <w:r w:rsidRPr="00E00162">
        <w:rPr>
          <w:vertAlign w:val="superscript"/>
        </w:rPr>
        <w:t>st</w:t>
      </w:r>
      <w:r>
        <w:t xml:space="preserve"> April to 31</w:t>
      </w:r>
      <w:r w:rsidRPr="00E00162">
        <w:rPr>
          <w:vertAlign w:val="superscript"/>
        </w:rPr>
        <w:t>st</w:t>
      </w:r>
      <w:r>
        <w:t xml:space="preserve"> March.</w:t>
      </w:r>
    </w:p>
    <w:p w:rsidR="00F274CF" w:rsidRPr="00A51C07" w:rsidRDefault="00F274CF" w:rsidP="00742C75">
      <w:pPr>
        <w:pStyle w:val="Heading2"/>
      </w:pPr>
    </w:p>
    <w:sectPr w:rsidR="00F274CF" w:rsidRPr="00A51C07" w:rsidSect="007D6840">
      <w:headerReference w:type="default" r:id="rId12"/>
      <w:footerReference w:type="default" r:id="rId13"/>
      <w:pgSz w:w="11907" w:h="16839" w:code="9"/>
      <w:pgMar w:top="1418"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3" w:rsidRDefault="00342183" w:rsidP="00581E86">
      <w:pPr>
        <w:spacing w:after="0" w:line="240" w:lineRule="auto"/>
      </w:pPr>
      <w:r>
        <w:separator/>
      </w:r>
    </w:p>
  </w:endnote>
  <w:endnote w:type="continuationSeparator" w:id="0">
    <w:p w:rsidR="00342183" w:rsidRDefault="0034218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8B" w:rsidRPr="00EA25AF" w:rsidRDefault="0050228B" w:rsidP="00D9593A">
    <w:pPr>
      <w:pStyle w:val="Footer"/>
      <w:tabs>
        <w:tab w:val="clear" w:pos="567"/>
        <w:tab w:val="clear" w:pos="1134"/>
        <w:tab w:val="clear" w:pos="1701"/>
        <w:tab w:val="clear" w:pos="2268"/>
        <w:tab w:val="clear" w:pos="9026"/>
      </w:tabs>
      <w:rPr>
        <w:color w:val="582C83"/>
        <w:sz w:val="16"/>
        <w:szCs w:val="16"/>
      </w:rPr>
    </w:pPr>
    <w:r>
      <w:rPr>
        <w:sz w:val="12"/>
        <w:szCs w:val="12"/>
      </w:rPr>
      <w:tab/>
    </w:r>
    <w:hyperlink r:id="rId1" w:history="1">
      <w:r w:rsidRPr="00EA25AF">
        <w:rPr>
          <w:rStyle w:val="Hyperlink"/>
          <w:color w:val="582C83"/>
          <w:sz w:val="16"/>
          <w:szCs w:val="16"/>
          <w:u w:val="none"/>
        </w:rPr>
        <w:t>www.meningitis.org</w:t>
      </w:r>
    </w:hyperlink>
  </w:p>
  <w:p w:rsidR="001036D6" w:rsidRPr="00C2410F" w:rsidRDefault="00BB72F3" w:rsidP="000B3509">
    <w:pPr>
      <w:pStyle w:val="Footer"/>
      <w:tabs>
        <w:tab w:val="clear" w:pos="567"/>
        <w:tab w:val="clear" w:pos="1134"/>
        <w:tab w:val="clear" w:pos="1701"/>
        <w:tab w:val="clear" w:pos="2268"/>
        <w:tab w:val="clear" w:pos="4513"/>
        <w:tab w:val="clear" w:pos="9026"/>
        <w:tab w:val="right" w:pos="9356"/>
      </w:tabs>
      <w:rPr>
        <w:sz w:val="16"/>
        <w:szCs w:val="16"/>
      </w:rPr>
    </w:pPr>
    <w:r>
      <w:rPr>
        <w:rStyle w:val="Hyperlink"/>
        <w:color w:val="auto"/>
        <w:sz w:val="16"/>
        <w:szCs w:val="16"/>
        <w:u w:val="none"/>
      </w:rPr>
      <w:t>EventsFR</w:t>
    </w:r>
    <w:r w:rsidR="0058014B">
      <w:rPr>
        <w:rStyle w:val="Hyperlink"/>
        <w:color w:val="auto"/>
        <w:sz w:val="16"/>
        <w:szCs w:val="16"/>
        <w:u w:val="none"/>
      </w:rPr>
      <w:t>0220</w:t>
    </w:r>
    <w:r w:rsidR="007D6840">
      <w:rPr>
        <w:rStyle w:val="Hyperlink"/>
        <w:color w:val="auto"/>
        <w:sz w:val="16"/>
        <w:szCs w:val="16"/>
        <w:u w:val="none"/>
      </w:rPr>
      <w:tab/>
    </w:r>
    <w:r w:rsidR="0050228B" w:rsidRPr="00C2410F">
      <w:rPr>
        <w:sz w:val="16"/>
        <w:szCs w:val="16"/>
      </w:rPr>
      <w:fldChar w:fldCharType="begin"/>
    </w:r>
    <w:r w:rsidR="0050228B" w:rsidRPr="00C2410F">
      <w:rPr>
        <w:sz w:val="16"/>
        <w:szCs w:val="16"/>
      </w:rPr>
      <w:instrText xml:space="preserve"> PAGE   \* MERGEFORMAT </w:instrText>
    </w:r>
    <w:r w:rsidR="0050228B" w:rsidRPr="00C2410F">
      <w:rPr>
        <w:sz w:val="16"/>
        <w:szCs w:val="16"/>
      </w:rPr>
      <w:fldChar w:fldCharType="separate"/>
    </w:r>
    <w:r w:rsidR="007A300C">
      <w:rPr>
        <w:noProof/>
        <w:sz w:val="16"/>
        <w:szCs w:val="16"/>
      </w:rPr>
      <w:t>1</w:t>
    </w:r>
    <w:r w:rsidR="0050228B" w:rsidRPr="00C2410F">
      <w:rPr>
        <w:noProof/>
        <w:sz w:val="16"/>
        <w:szCs w:val="16"/>
      </w:rPr>
      <w:fldChar w:fldCharType="end"/>
    </w:r>
    <w:r w:rsidR="0050228B" w:rsidRPr="00C2410F">
      <w:rPr>
        <w:noProof/>
        <w:sz w:val="16"/>
        <w:szCs w:val="16"/>
      </w:rPr>
      <w:t>/</w:t>
    </w:r>
    <w:r w:rsidR="0050228B" w:rsidRPr="00C2410F">
      <w:rPr>
        <w:noProof/>
        <w:sz w:val="16"/>
        <w:szCs w:val="16"/>
      </w:rPr>
      <w:fldChar w:fldCharType="begin"/>
    </w:r>
    <w:r w:rsidR="0050228B" w:rsidRPr="00C2410F">
      <w:rPr>
        <w:noProof/>
        <w:sz w:val="16"/>
        <w:szCs w:val="16"/>
      </w:rPr>
      <w:instrText xml:space="preserve"> NUMPAGES   \* MERGEFORMAT </w:instrText>
    </w:r>
    <w:r w:rsidR="0050228B" w:rsidRPr="00C2410F">
      <w:rPr>
        <w:noProof/>
        <w:sz w:val="16"/>
        <w:szCs w:val="16"/>
      </w:rPr>
      <w:fldChar w:fldCharType="separate"/>
    </w:r>
    <w:r w:rsidR="007A300C">
      <w:rPr>
        <w:noProof/>
        <w:sz w:val="16"/>
        <w:szCs w:val="16"/>
      </w:rPr>
      <w:t>5</w:t>
    </w:r>
    <w:r w:rsidR="0050228B" w:rsidRPr="00C2410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3" w:rsidRDefault="00342183" w:rsidP="00581E86">
      <w:pPr>
        <w:spacing w:after="0" w:line="240" w:lineRule="auto"/>
      </w:pPr>
      <w:r>
        <w:separator/>
      </w:r>
    </w:p>
  </w:footnote>
  <w:footnote w:type="continuationSeparator" w:id="0">
    <w:p w:rsidR="00342183" w:rsidRDefault="00342183"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rsidP="00E961D6">
    <w:pPr>
      <w:pStyle w:val="Heading2"/>
    </w:pPr>
    <w:r>
      <w:rPr>
        <w:noProof/>
        <w:lang w:val="en-GB" w:eastAsia="en-GB"/>
      </w:rPr>
      <w:drawing>
        <wp:anchor distT="0" distB="0" distL="114300" distR="114300" simplePos="0" relativeHeight="251659264" behindDoc="0" locked="0" layoutInCell="1" allowOverlap="1" wp14:anchorId="49C7A5DD" wp14:editId="0B32DE1D">
          <wp:simplePos x="0" y="0"/>
          <wp:positionH relativeFrom="column">
            <wp:posOffset>4791075</wp:posOffset>
          </wp:positionH>
          <wp:positionV relativeFrom="paragraph">
            <wp:posOffset>-80011</wp:posOffset>
          </wp:positionV>
          <wp:extent cx="1531620" cy="1083211"/>
          <wp:effectExtent l="0" t="0" r="0" b="0"/>
          <wp:wrapNone/>
          <wp:docPr id="1" name="Picture 1"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876" cy="10883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049" w:rsidRDefault="00C10049" w:rsidP="00B073D1">
    <w:pPr>
      <w:pStyle w:val="Heading2"/>
      <w:tabs>
        <w:tab w:val="clear" w:pos="567"/>
        <w:tab w:val="clear" w:pos="1134"/>
        <w:tab w:val="clear" w:pos="1701"/>
        <w:tab w:val="clear" w:pos="2268"/>
        <w:tab w:val="left" w:pos="6645"/>
      </w:tabs>
    </w:pPr>
    <w:r>
      <w:tab/>
    </w:r>
  </w:p>
  <w:p w:rsidR="00B073D1" w:rsidRPr="00B073D1" w:rsidRDefault="00B073D1" w:rsidP="00B073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48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423"/>
    <w:multiLevelType w:val="hybridMultilevel"/>
    <w:tmpl w:val="42D664F4"/>
    <w:lvl w:ilvl="0" w:tplc="1B2A64D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AD78FA"/>
    <w:multiLevelType w:val="multilevel"/>
    <w:tmpl w:val="D5E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12"/>
  </w:num>
  <w:num w:numId="5">
    <w:abstractNumId w:val="15"/>
  </w:num>
  <w:num w:numId="6">
    <w:abstractNumId w:val="19"/>
  </w:num>
  <w:num w:numId="7">
    <w:abstractNumId w:val="17"/>
  </w:num>
  <w:num w:numId="8">
    <w:abstractNumId w:val="10"/>
  </w:num>
  <w:num w:numId="9">
    <w:abstractNumId w:val="1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6588F"/>
    <w:rsid w:val="0007361A"/>
    <w:rsid w:val="00082A1D"/>
    <w:rsid w:val="000B3509"/>
    <w:rsid w:val="001036D6"/>
    <w:rsid w:val="00111E3B"/>
    <w:rsid w:val="001346B1"/>
    <w:rsid w:val="00187CF8"/>
    <w:rsid w:val="001A21FA"/>
    <w:rsid w:val="001B3B77"/>
    <w:rsid w:val="00216E7D"/>
    <w:rsid w:val="0022307C"/>
    <w:rsid w:val="00241FCF"/>
    <w:rsid w:val="00243139"/>
    <w:rsid w:val="00255095"/>
    <w:rsid w:val="002933FD"/>
    <w:rsid w:val="00331538"/>
    <w:rsid w:val="003409B5"/>
    <w:rsid w:val="00342183"/>
    <w:rsid w:val="00387F54"/>
    <w:rsid w:val="003C54EB"/>
    <w:rsid w:val="00410A5F"/>
    <w:rsid w:val="00477D30"/>
    <w:rsid w:val="004872A7"/>
    <w:rsid w:val="0049592C"/>
    <w:rsid w:val="004A3ECA"/>
    <w:rsid w:val="004D1357"/>
    <w:rsid w:val="004D1A3D"/>
    <w:rsid w:val="00501C34"/>
    <w:rsid w:val="0050228B"/>
    <w:rsid w:val="00512125"/>
    <w:rsid w:val="0051537C"/>
    <w:rsid w:val="00530E25"/>
    <w:rsid w:val="00533C77"/>
    <w:rsid w:val="00551D03"/>
    <w:rsid w:val="0058014B"/>
    <w:rsid w:val="00581E86"/>
    <w:rsid w:val="00593E3F"/>
    <w:rsid w:val="0059553B"/>
    <w:rsid w:val="005A7AAC"/>
    <w:rsid w:val="005D04AE"/>
    <w:rsid w:val="005D6B25"/>
    <w:rsid w:val="006102A2"/>
    <w:rsid w:val="006547AA"/>
    <w:rsid w:val="006643DD"/>
    <w:rsid w:val="006B3BBD"/>
    <w:rsid w:val="006C538D"/>
    <w:rsid w:val="006D3C81"/>
    <w:rsid w:val="006E38AC"/>
    <w:rsid w:val="006F33B2"/>
    <w:rsid w:val="00701DC7"/>
    <w:rsid w:val="007173FC"/>
    <w:rsid w:val="00742C75"/>
    <w:rsid w:val="00746E34"/>
    <w:rsid w:val="0076694B"/>
    <w:rsid w:val="00793414"/>
    <w:rsid w:val="007A300C"/>
    <w:rsid w:val="007A32FC"/>
    <w:rsid w:val="007D6840"/>
    <w:rsid w:val="007E07A9"/>
    <w:rsid w:val="00803B87"/>
    <w:rsid w:val="00886D3E"/>
    <w:rsid w:val="00897307"/>
    <w:rsid w:val="008C28C4"/>
    <w:rsid w:val="008D5E7D"/>
    <w:rsid w:val="00914987"/>
    <w:rsid w:val="009202ED"/>
    <w:rsid w:val="00950B27"/>
    <w:rsid w:val="00953303"/>
    <w:rsid w:val="00962906"/>
    <w:rsid w:val="00966D87"/>
    <w:rsid w:val="00975F53"/>
    <w:rsid w:val="00992ED0"/>
    <w:rsid w:val="009A2FF2"/>
    <w:rsid w:val="009C42CD"/>
    <w:rsid w:val="00A22FB5"/>
    <w:rsid w:val="00A51C07"/>
    <w:rsid w:val="00A6270E"/>
    <w:rsid w:val="00A77418"/>
    <w:rsid w:val="00AC09A5"/>
    <w:rsid w:val="00AC6692"/>
    <w:rsid w:val="00B073D1"/>
    <w:rsid w:val="00B15B3C"/>
    <w:rsid w:val="00B32510"/>
    <w:rsid w:val="00B43823"/>
    <w:rsid w:val="00B64855"/>
    <w:rsid w:val="00BB72F3"/>
    <w:rsid w:val="00BD1F33"/>
    <w:rsid w:val="00BF7CB7"/>
    <w:rsid w:val="00C00931"/>
    <w:rsid w:val="00C046F4"/>
    <w:rsid w:val="00C10049"/>
    <w:rsid w:val="00C2410F"/>
    <w:rsid w:val="00C41569"/>
    <w:rsid w:val="00C65E97"/>
    <w:rsid w:val="00CB652C"/>
    <w:rsid w:val="00CC2394"/>
    <w:rsid w:val="00CD3CB6"/>
    <w:rsid w:val="00CF513A"/>
    <w:rsid w:val="00D0510B"/>
    <w:rsid w:val="00D52C42"/>
    <w:rsid w:val="00D9593A"/>
    <w:rsid w:val="00DC46C3"/>
    <w:rsid w:val="00DE062B"/>
    <w:rsid w:val="00E00162"/>
    <w:rsid w:val="00E15238"/>
    <w:rsid w:val="00E32210"/>
    <w:rsid w:val="00E53E66"/>
    <w:rsid w:val="00E6374D"/>
    <w:rsid w:val="00E676CE"/>
    <w:rsid w:val="00E71B9A"/>
    <w:rsid w:val="00E81CA5"/>
    <w:rsid w:val="00E961D6"/>
    <w:rsid w:val="00EA25AF"/>
    <w:rsid w:val="00EB3F1F"/>
    <w:rsid w:val="00ED2D23"/>
    <w:rsid w:val="00EF7926"/>
    <w:rsid w:val="00F160D7"/>
    <w:rsid w:val="00F16370"/>
    <w:rsid w:val="00F25425"/>
    <w:rsid w:val="00F274CF"/>
    <w:rsid w:val="00F31E2C"/>
    <w:rsid w:val="00F411C2"/>
    <w:rsid w:val="00F50FB8"/>
    <w:rsid w:val="00F628DE"/>
    <w:rsid w:val="00F6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97ACE5C"/>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E961D6"/>
    <w:pPr>
      <w:keepNext/>
      <w:keepLines/>
      <w:spacing w:before="360" w:after="120"/>
      <w:outlineLvl w:val="3"/>
    </w:pPr>
    <w:rPr>
      <w:rFonts w:asciiTheme="majorHAnsi" w:eastAsiaTheme="majorEastAsia" w:hAnsiTheme="majorHAnsi" w:cstheme="majorBidi"/>
      <w:b/>
      <w:bCs/>
      <w:color w:val="000000" w:themeColor="text1"/>
      <w:szCs w:val="20"/>
      <w:u w:val="single"/>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E961D6"/>
    <w:rPr>
      <w:rFonts w:asciiTheme="majorHAnsi" w:eastAsiaTheme="majorEastAsia" w:hAnsiTheme="majorHAnsi" w:cstheme="majorBidi"/>
      <w:b/>
      <w:bCs/>
      <w:color w:val="000000" w:themeColor="text1"/>
      <w:sz w:val="20"/>
      <w:szCs w:val="20"/>
      <w:u w:val="single"/>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5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styleId="ListBullet">
    <w:name w:val="List Bullet"/>
    <w:basedOn w:val="Normal"/>
    <w:rsid w:val="00551D03"/>
    <w:pPr>
      <w:tabs>
        <w:tab w:val="num" w:pos="360"/>
        <w:tab w:val="center" w:pos="4253"/>
        <w:tab w:val="right" w:pos="8505"/>
      </w:tabs>
      <w:spacing w:after="0" w:line="280" w:lineRule="exact"/>
      <w:ind w:left="360" w:hanging="360"/>
      <w:contextualSpacing/>
    </w:pPr>
    <w:rPr>
      <w:rFonts w:eastAsia="Times New Roman" w:cs="Arial"/>
      <w:szCs w:val="20"/>
      <w:lang w:val="en-GB" w:eastAsia="en-US"/>
    </w:rPr>
  </w:style>
  <w:style w:type="paragraph" w:customStyle="1" w:styleId="bullet">
    <w:name w:val="bullet"/>
    <w:basedOn w:val="Normal"/>
    <w:qFormat/>
    <w:rsid w:val="007D6840"/>
    <w:pPr>
      <w:numPr>
        <w:numId w:val="22"/>
      </w:numPr>
      <w:tabs>
        <w:tab w:val="clear" w:pos="567"/>
        <w:tab w:val="center" w:pos="4253"/>
        <w:tab w:val="right" w:pos="8505"/>
      </w:tabs>
      <w:spacing w:before="60" w:after="0" w:line="280" w:lineRule="exact"/>
    </w:pPr>
    <w:rPr>
      <w:rFonts w:eastAsia="Times New Roman" w:cs="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9601">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ingiti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ningitis.org/getmedia/600dc78b-4d46-4fdf-8b17-d5b1ed10f95c/MRF-strategy-FINAL" TargetMode="External"/><Relationship Id="rId4" Type="http://schemas.openxmlformats.org/officeDocument/2006/relationships/styles" Target="styles.xml"/><Relationship Id="rId9" Type="http://schemas.openxmlformats.org/officeDocument/2006/relationships/hyperlink" Target="mailto:carolc@meningiti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B1E63E0-B8C4-437C-B627-4C741CE2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8</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Jenny Robinson</cp:lastModifiedBy>
  <cp:revision>4</cp:revision>
  <cp:lastPrinted>2020-02-26T15:57:00Z</cp:lastPrinted>
  <dcterms:created xsi:type="dcterms:W3CDTF">2020-12-04T12:25:00Z</dcterms:created>
  <dcterms:modified xsi:type="dcterms:W3CDTF">2020-12-07T09:53:00Z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