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A521C" w14:textId="0F3E474F" w:rsidR="00706330" w:rsidRDefault="00E9488B" w:rsidP="00E9488B">
      <w:pPr>
        <w:pStyle w:val="Heading1"/>
      </w:pPr>
      <w:r>
        <w:t>F</w:t>
      </w:r>
      <w:r w:rsidR="00646659">
        <w:t xml:space="preserve">inance &amp; </w:t>
      </w:r>
      <w:r w:rsidR="005D27D3">
        <w:t>Risk</w:t>
      </w:r>
      <w:r>
        <w:t xml:space="preserve"> Sub-Committee Terms of Reference</w:t>
      </w:r>
    </w:p>
    <w:p w14:paraId="0AECDA49" w14:textId="77777777" w:rsidR="00E9488B" w:rsidRDefault="00E9488B" w:rsidP="007B6520">
      <w:pPr>
        <w:pStyle w:val="Heading3"/>
      </w:pPr>
      <w:r>
        <w:t>Attendees</w:t>
      </w:r>
    </w:p>
    <w:tbl>
      <w:tblPr>
        <w:tblStyle w:val="TableGridLight"/>
        <w:tblW w:w="9776" w:type="dxa"/>
        <w:tblLook w:val="04A0" w:firstRow="1" w:lastRow="0" w:firstColumn="1" w:lastColumn="0" w:noHBand="0" w:noVBand="1"/>
      </w:tblPr>
      <w:tblGrid>
        <w:gridCol w:w="4390"/>
        <w:gridCol w:w="5386"/>
      </w:tblGrid>
      <w:tr w:rsidR="00E9488B" w:rsidRPr="00E9488B" w14:paraId="3F972F73" w14:textId="77777777" w:rsidTr="0036437B">
        <w:tc>
          <w:tcPr>
            <w:tcW w:w="4390" w:type="dxa"/>
          </w:tcPr>
          <w:p w14:paraId="42BCC337" w14:textId="76F9EC9E" w:rsidR="0036437B" w:rsidRPr="00E9488B" w:rsidRDefault="00E9488B" w:rsidP="00E9488B">
            <w:pPr>
              <w:rPr>
                <w:b/>
              </w:rPr>
            </w:pPr>
            <w:r w:rsidRPr="00E9488B">
              <w:rPr>
                <w:b/>
              </w:rPr>
              <w:t>Trustee members</w:t>
            </w:r>
          </w:p>
          <w:p w14:paraId="0CB36000" w14:textId="5499E69D" w:rsidR="00646659" w:rsidRPr="0036437B" w:rsidRDefault="005D27D3" w:rsidP="0036437B">
            <w:pPr>
              <w:rPr>
                <w:sz w:val="22"/>
                <w:szCs w:val="22"/>
              </w:rPr>
            </w:pPr>
            <w:r w:rsidRPr="0036437B">
              <w:t xml:space="preserve">Micheál Nallen (Chair), </w:t>
            </w:r>
            <w:r w:rsidR="00A62C72" w:rsidRPr="0036437B">
              <w:t>Claire Leigh</w:t>
            </w:r>
            <w:r w:rsidR="004C6AF9">
              <w:t xml:space="preserve"> (C</w:t>
            </w:r>
            <w:r w:rsidR="00EB08CB">
              <w:t xml:space="preserve">hair of Trustee </w:t>
            </w:r>
            <w:r w:rsidR="004C6AF9">
              <w:t>Board)</w:t>
            </w:r>
            <w:r w:rsidRPr="0036437B">
              <w:t>, Steve Highwood, Sue Grieve, Jane Cope</w:t>
            </w:r>
          </w:p>
        </w:tc>
        <w:tc>
          <w:tcPr>
            <w:tcW w:w="5386" w:type="dxa"/>
          </w:tcPr>
          <w:p w14:paraId="7BA0D10D" w14:textId="77777777" w:rsidR="0036437B" w:rsidRDefault="00E9488B" w:rsidP="0036437B">
            <w:pPr>
              <w:rPr>
                <w:b/>
              </w:rPr>
            </w:pPr>
            <w:r w:rsidRPr="00E9488B">
              <w:rPr>
                <w:b/>
              </w:rPr>
              <w:t>Staff members</w:t>
            </w:r>
          </w:p>
          <w:p w14:paraId="597A302E" w14:textId="3F675E7E" w:rsidR="008538FB" w:rsidRPr="0036437B" w:rsidRDefault="008538FB" w:rsidP="0036437B">
            <w:r w:rsidRPr="0036437B">
              <w:t>Vinny Smith</w:t>
            </w:r>
            <w:r w:rsidR="00D7145E" w:rsidRPr="0036437B">
              <w:t xml:space="preserve">, </w:t>
            </w:r>
            <w:r w:rsidRPr="0036437B">
              <w:t>Carol Currie</w:t>
            </w:r>
            <w:r w:rsidR="00D7145E" w:rsidRPr="0036437B">
              <w:t xml:space="preserve">, </w:t>
            </w:r>
            <w:r w:rsidR="005D27D3" w:rsidRPr="0036437B">
              <w:t xml:space="preserve">Steve Morton, </w:t>
            </w:r>
            <w:r w:rsidR="00D7145E" w:rsidRPr="0036437B">
              <w:t>I</w:t>
            </w:r>
            <w:r w:rsidR="00047763" w:rsidRPr="0036437B">
              <w:t>an Be</w:t>
            </w:r>
            <w:r w:rsidRPr="0036437B">
              <w:t>ningfield</w:t>
            </w:r>
          </w:p>
        </w:tc>
      </w:tr>
    </w:tbl>
    <w:p w14:paraId="26042758" w14:textId="77777777" w:rsidR="007B6520" w:rsidRPr="007B6520" w:rsidRDefault="007B6520" w:rsidP="007B6520">
      <w:pPr>
        <w:pStyle w:val="Heading2"/>
        <w:rPr>
          <w:sz w:val="2"/>
        </w:rPr>
      </w:pPr>
    </w:p>
    <w:p w14:paraId="08662946" w14:textId="77777777" w:rsidR="00E9488B" w:rsidRPr="00E9488B" w:rsidRDefault="00E9488B" w:rsidP="007B6520">
      <w:pPr>
        <w:pStyle w:val="Heading3"/>
      </w:pPr>
      <w:r w:rsidRPr="00E9488B">
        <w:t>Aims</w:t>
      </w:r>
    </w:p>
    <w:p w14:paraId="524A0EC9" w14:textId="2339596D" w:rsidR="00E9488B" w:rsidRDefault="00E9488B" w:rsidP="00C525B2">
      <w:pPr>
        <w:jc w:val="both"/>
      </w:pPr>
      <w:r w:rsidRPr="009208B5">
        <w:t xml:space="preserve">The meeting aims to help </w:t>
      </w:r>
      <w:r>
        <w:t xml:space="preserve">ensure the charity </w:t>
      </w:r>
      <w:r w:rsidR="008538FB">
        <w:t xml:space="preserve">manages its finances, income, </w:t>
      </w:r>
      <w:r w:rsidR="005D27D3">
        <w:t xml:space="preserve">risk, </w:t>
      </w:r>
      <w:r w:rsidR="008538FB">
        <w:t xml:space="preserve">HR and IT </w:t>
      </w:r>
      <w:r w:rsidR="00646659">
        <w:t>responsibly in pursuit of the ch</w:t>
      </w:r>
      <w:r w:rsidR="00A71CAE">
        <w:t>aritable purposes of the organis</w:t>
      </w:r>
      <w:r w:rsidR="00646659">
        <w:t>ation.</w:t>
      </w:r>
    </w:p>
    <w:p w14:paraId="7E26233C" w14:textId="77777777" w:rsidR="00E9488B" w:rsidRPr="009208B5" w:rsidRDefault="00E9488B" w:rsidP="00C525B2">
      <w:pPr>
        <w:jc w:val="both"/>
      </w:pPr>
      <w:r>
        <w:t xml:space="preserve">The sub-committee supports the performance of the MRF Trustee Board, helping to ensure decisions taken by that body </w:t>
      </w:r>
      <w:r w:rsidR="003C4182">
        <w:t xml:space="preserve">are </w:t>
      </w:r>
      <w:r>
        <w:t>more efficient and effective.</w:t>
      </w:r>
    </w:p>
    <w:p w14:paraId="1822BC6B" w14:textId="77777777" w:rsidR="00E9488B" w:rsidRPr="00E9488B" w:rsidRDefault="00E9488B" w:rsidP="00C525B2">
      <w:pPr>
        <w:pStyle w:val="Heading3"/>
        <w:jc w:val="both"/>
      </w:pPr>
      <w:r w:rsidRPr="00E9488B">
        <w:t>Responsibility</w:t>
      </w:r>
    </w:p>
    <w:p w14:paraId="07A32606" w14:textId="5B752A8F" w:rsidR="00E9488B" w:rsidRDefault="00E9488B" w:rsidP="00C525B2">
      <w:pPr>
        <w:jc w:val="both"/>
      </w:pPr>
      <w:r w:rsidRPr="009208B5">
        <w:t>The co</w:t>
      </w:r>
      <w:r>
        <w:t xml:space="preserve">re purpose of the meeting is to undertake more detailed consideration of </w:t>
      </w:r>
      <w:r w:rsidR="00646659">
        <w:t xml:space="preserve">finance, fundraising, </w:t>
      </w:r>
      <w:r w:rsidR="005D27D3">
        <w:t xml:space="preserve">risk, </w:t>
      </w:r>
      <w:r w:rsidR="00646659">
        <w:t xml:space="preserve">human resources </w:t>
      </w:r>
      <w:r>
        <w:t xml:space="preserve">plans and performance outside the full Trustee Board meeting to allow more time for consideration and discussion of key issues. Following discussions, this group can then go on to make recommendations to the full </w:t>
      </w:r>
      <w:r w:rsidR="00F54B10">
        <w:t>B</w:t>
      </w:r>
      <w:r>
        <w:t xml:space="preserve">oard for their final decision. </w:t>
      </w:r>
    </w:p>
    <w:p w14:paraId="305BCC4C" w14:textId="399284EE" w:rsidR="005D27D3" w:rsidRDefault="005D27D3" w:rsidP="00C525B2">
      <w:pPr>
        <w:jc w:val="both"/>
      </w:pPr>
      <w:r>
        <w:t>This group has parti</w:t>
      </w:r>
      <w:r w:rsidR="00E9488B">
        <w:t>cular responsibility</w:t>
      </w:r>
      <w:r>
        <w:t xml:space="preserve"> for the following</w:t>
      </w:r>
    </w:p>
    <w:p w14:paraId="3E529C75" w14:textId="77777777" w:rsidR="00E9488B" w:rsidRPr="00D42996" w:rsidRDefault="00646659" w:rsidP="00C525B2">
      <w:pPr>
        <w:pStyle w:val="Heading4"/>
        <w:jc w:val="both"/>
      </w:pPr>
      <w:r>
        <w:t>Finance and administration</w:t>
      </w:r>
    </w:p>
    <w:p w14:paraId="0248FDA3" w14:textId="77777777" w:rsidR="00646659" w:rsidRDefault="00E9488B" w:rsidP="00C525B2">
      <w:pPr>
        <w:pStyle w:val="BulletMike"/>
        <w:jc w:val="both"/>
      </w:pPr>
      <w:r>
        <w:t>Reviewing and discussing future strategy and options for</w:t>
      </w:r>
      <w:r w:rsidR="00646659">
        <w:t xml:space="preserve"> managing charity finances and administration.</w:t>
      </w:r>
    </w:p>
    <w:p w14:paraId="4537147B" w14:textId="77777777" w:rsidR="00646659" w:rsidRDefault="00646659" w:rsidP="00C525B2">
      <w:pPr>
        <w:pStyle w:val="BulletMike"/>
        <w:jc w:val="both"/>
      </w:pPr>
      <w:r>
        <w:t>Reviewing management accounts to assess financial performance of the charity.</w:t>
      </w:r>
    </w:p>
    <w:p w14:paraId="6D198A5A" w14:textId="77777777" w:rsidR="00646659" w:rsidRDefault="00646659" w:rsidP="00C525B2">
      <w:pPr>
        <w:pStyle w:val="BulletMike"/>
        <w:jc w:val="both"/>
      </w:pPr>
      <w:r>
        <w:t>Reviewing charity reserves and investments.</w:t>
      </w:r>
    </w:p>
    <w:p w14:paraId="07DD7D1C" w14:textId="77777777" w:rsidR="00646659" w:rsidRDefault="00646659" w:rsidP="00C525B2">
      <w:pPr>
        <w:pStyle w:val="BulletMike"/>
        <w:jc w:val="both"/>
      </w:pPr>
      <w:r>
        <w:t>Reviewing latest reforecasts and projections for future performance.</w:t>
      </w:r>
    </w:p>
    <w:p w14:paraId="5715498D" w14:textId="77777777" w:rsidR="00646659" w:rsidRDefault="00646659" w:rsidP="00C525B2">
      <w:pPr>
        <w:pStyle w:val="BulletMike"/>
        <w:jc w:val="both"/>
      </w:pPr>
      <w:r>
        <w:t>Reviewing the proposed annual charity budget and operating plan and assessing before recommendation to the full Board.</w:t>
      </w:r>
    </w:p>
    <w:p w14:paraId="11C5BAA6" w14:textId="77777777" w:rsidR="00E9488B" w:rsidRPr="007B6520" w:rsidRDefault="00FD042C" w:rsidP="00C525B2">
      <w:pPr>
        <w:pStyle w:val="Heading4"/>
        <w:jc w:val="both"/>
      </w:pPr>
      <w:r>
        <w:t>Income generation</w:t>
      </w:r>
    </w:p>
    <w:p w14:paraId="6996270D" w14:textId="77777777" w:rsidR="00646659" w:rsidRDefault="00646659" w:rsidP="00C525B2">
      <w:pPr>
        <w:pStyle w:val="BulletMike"/>
        <w:jc w:val="both"/>
      </w:pPr>
      <w:r>
        <w:t>Reviewing and discussing income generation (including fundraising) that enables the charity to maximi</w:t>
      </w:r>
      <w:r w:rsidR="00F54B10">
        <w:t>s</w:t>
      </w:r>
      <w:r>
        <w:t>e its objectives.</w:t>
      </w:r>
    </w:p>
    <w:p w14:paraId="40651921" w14:textId="1D6E2CA6" w:rsidR="00E9488B" w:rsidRDefault="007B6520" w:rsidP="00C525B2">
      <w:pPr>
        <w:pStyle w:val="BulletMike"/>
        <w:jc w:val="both"/>
      </w:pPr>
      <w:r>
        <w:t>To review actual against planned performance and results.</w:t>
      </w:r>
    </w:p>
    <w:p w14:paraId="26B3A536" w14:textId="34865DD4" w:rsidR="005D27D3" w:rsidRDefault="005D27D3" w:rsidP="00C525B2">
      <w:pPr>
        <w:pStyle w:val="BulletMike"/>
        <w:jc w:val="both"/>
      </w:pPr>
      <w:r>
        <w:t>Reviewing prospect pipelines and progress for securing funds against the projected business model.</w:t>
      </w:r>
    </w:p>
    <w:p w14:paraId="4B4A012A" w14:textId="02C9C9B8" w:rsidR="005D27D3" w:rsidRDefault="005D27D3" w:rsidP="00C525B2">
      <w:pPr>
        <w:pStyle w:val="BulletMike"/>
        <w:numPr>
          <w:ilvl w:val="0"/>
          <w:numId w:val="0"/>
        </w:numPr>
        <w:jc w:val="both"/>
      </w:pPr>
    </w:p>
    <w:p w14:paraId="20A502FA" w14:textId="77777777" w:rsidR="005D27D3" w:rsidRDefault="005D27D3" w:rsidP="00C525B2">
      <w:pPr>
        <w:pStyle w:val="Heading4"/>
        <w:jc w:val="both"/>
      </w:pPr>
      <w:r>
        <w:t>Risk management</w:t>
      </w:r>
    </w:p>
    <w:p w14:paraId="7570070F" w14:textId="77777777" w:rsidR="005D27D3" w:rsidRDefault="005D27D3" w:rsidP="00C525B2">
      <w:pPr>
        <w:pStyle w:val="BulletMike"/>
        <w:jc w:val="both"/>
      </w:pPr>
      <w:r>
        <w:t>To provide the Board with assurance that processes are in place to identify, assess and manage the risks to which the charity is exposed. Such processes will include horizon scanning for new risks. Risks may relate to governance, operational factors, finance, external factors or compliance with law and regulation.</w:t>
      </w:r>
    </w:p>
    <w:p w14:paraId="65CBCD46" w14:textId="77777777" w:rsidR="005D27D3" w:rsidRDefault="005D27D3" w:rsidP="00C525B2">
      <w:pPr>
        <w:pStyle w:val="BulletMike"/>
        <w:jc w:val="both"/>
      </w:pPr>
      <w:r>
        <w:t>To review risk and compliance logs and action plans, including disaster recovery plans, and to advise the board and executive accordingly.</w:t>
      </w:r>
    </w:p>
    <w:p w14:paraId="568ED5F6" w14:textId="77777777" w:rsidR="005D27D3" w:rsidRDefault="005D27D3" w:rsidP="00C525B2">
      <w:pPr>
        <w:pStyle w:val="BulletMike"/>
        <w:jc w:val="both"/>
      </w:pPr>
      <w:r>
        <w:t>To refer issues of concern, or requiring decision, to the full board.</w:t>
      </w:r>
    </w:p>
    <w:p w14:paraId="124C4A20" w14:textId="77777777" w:rsidR="005D27D3" w:rsidRDefault="005D27D3" w:rsidP="00C525B2">
      <w:pPr>
        <w:pStyle w:val="BulletMike"/>
        <w:numPr>
          <w:ilvl w:val="0"/>
          <w:numId w:val="0"/>
        </w:numPr>
        <w:jc w:val="both"/>
      </w:pPr>
    </w:p>
    <w:p w14:paraId="0181E70D" w14:textId="77777777" w:rsidR="00E9488B" w:rsidRPr="007B6520" w:rsidRDefault="00646659" w:rsidP="00C525B2">
      <w:pPr>
        <w:pStyle w:val="Heading4"/>
        <w:jc w:val="both"/>
      </w:pPr>
      <w:r>
        <w:t>Human Resources</w:t>
      </w:r>
    </w:p>
    <w:p w14:paraId="6F898BF3" w14:textId="77777777" w:rsidR="007B6520" w:rsidRDefault="007B6520" w:rsidP="00C525B2">
      <w:pPr>
        <w:pStyle w:val="BulletMike"/>
        <w:jc w:val="both"/>
      </w:pPr>
      <w:r>
        <w:t xml:space="preserve">To review </w:t>
      </w:r>
      <w:r w:rsidR="008538FB">
        <w:t>the organi</w:t>
      </w:r>
      <w:r w:rsidR="00F54B10">
        <w:t>s</w:t>
      </w:r>
      <w:r w:rsidR="008538FB">
        <w:t>ational structure and ensure it meets the needs of the organi</w:t>
      </w:r>
      <w:r w:rsidR="00F54B10">
        <w:t>s</w:t>
      </w:r>
      <w:r w:rsidR="008538FB">
        <w:t>ation and the strategy.</w:t>
      </w:r>
    </w:p>
    <w:p w14:paraId="2932A77D" w14:textId="7B249337" w:rsidR="00FD042C" w:rsidRDefault="008538FB" w:rsidP="00C525B2">
      <w:pPr>
        <w:pStyle w:val="BulletMike"/>
        <w:jc w:val="both"/>
      </w:pPr>
      <w:r>
        <w:t>To review proposals for developing the organi</w:t>
      </w:r>
      <w:r w:rsidR="00F54B10">
        <w:t>s</w:t>
      </w:r>
      <w:r>
        <w:t>ational structure and performance management framework.</w:t>
      </w:r>
    </w:p>
    <w:p w14:paraId="17502DAB" w14:textId="55915B4D" w:rsidR="00FD042C" w:rsidRDefault="00FD042C" w:rsidP="00C525B2">
      <w:pPr>
        <w:pStyle w:val="Heading4"/>
        <w:jc w:val="both"/>
      </w:pPr>
      <w:r>
        <w:t>I</w:t>
      </w:r>
      <w:r w:rsidR="00D17617">
        <w:t>nformation Technology</w:t>
      </w:r>
    </w:p>
    <w:p w14:paraId="79F4C8FE" w14:textId="77777777" w:rsidR="00FD042C" w:rsidRDefault="00FD042C" w:rsidP="00C525B2">
      <w:pPr>
        <w:pStyle w:val="BulletMike"/>
        <w:numPr>
          <w:ilvl w:val="0"/>
          <w:numId w:val="15"/>
        </w:numPr>
        <w:jc w:val="both"/>
      </w:pPr>
      <w:r>
        <w:t>To review charity IT strategy and ensure it meets charitable objectives.</w:t>
      </w:r>
    </w:p>
    <w:p w14:paraId="3ECFAA3D" w14:textId="77777777" w:rsidR="00646659" w:rsidRDefault="00646659" w:rsidP="00C525B2">
      <w:pPr>
        <w:pStyle w:val="BulletMike"/>
        <w:numPr>
          <w:ilvl w:val="0"/>
          <w:numId w:val="0"/>
        </w:numPr>
        <w:ind w:left="567" w:hanging="567"/>
        <w:jc w:val="both"/>
      </w:pPr>
    </w:p>
    <w:p w14:paraId="3FC2CAA4" w14:textId="77777777" w:rsidR="00E9488B" w:rsidRPr="007B6520" w:rsidRDefault="00E9488B" w:rsidP="00C525B2">
      <w:pPr>
        <w:pStyle w:val="Heading3"/>
        <w:jc w:val="both"/>
      </w:pPr>
      <w:r w:rsidRPr="007B6520">
        <w:t>Decision making authority</w:t>
      </w:r>
    </w:p>
    <w:p w14:paraId="2EE4BF4F" w14:textId="02ED0383" w:rsidR="00E9488B" w:rsidRPr="006778BD" w:rsidRDefault="00E9488B" w:rsidP="00C525B2">
      <w:pPr>
        <w:jc w:val="both"/>
      </w:pPr>
      <w:r>
        <w:t xml:space="preserve">No formal decision making authority beyond making recommendations to </w:t>
      </w:r>
      <w:r w:rsidR="00D17617">
        <w:t xml:space="preserve">the </w:t>
      </w:r>
      <w:r>
        <w:t>full Board.</w:t>
      </w:r>
    </w:p>
    <w:p w14:paraId="188C095A" w14:textId="77777777" w:rsidR="00E9488B" w:rsidRPr="009208B5" w:rsidRDefault="00E9488B" w:rsidP="00C525B2">
      <w:pPr>
        <w:pStyle w:val="Heading3"/>
        <w:jc w:val="both"/>
      </w:pPr>
      <w:r>
        <w:t>Typical a</w:t>
      </w:r>
      <w:r w:rsidRPr="009208B5">
        <w:t>genda</w:t>
      </w:r>
    </w:p>
    <w:p w14:paraId="4F4F7864" w14:textId="77777777" w:rsidR="00E9488B" w:rsidRDefault="00E9488B" w:rsidP="00C525B2">
      <w:pPr>
        <w:jc w:val="both"/>
      </w:pPr>
      <w:r>
        <w:t>The agenda of each meeting may change according to emerging needs and priorities, but will typically include:</w:t>
      </w:r>
    </w:p>
    <w:p w14:paraId="7F373595" w14:textId="44684820" w:rsidR="005D27D3" w:rsidRDefault="005D27D3" w:rsidP="00C525B2">
      <w:pPr>
        <w:pStyle w:val="BulletMike"/>
        <w:jc w:val="both"/>
      </w:pPr>
      <w:r>
        <w:t>Confirmation of any potential conflicts of interest</w:t>
      </w:r>
      <w:r w:rsidR="00B525FC">
        <w:t>.</w:t>
      </w:r>
    </w:p>
    <w:p w14:paraId="6AE2C2D6" w14:textId="1A271A2E" w:rsidR="005D27D3" w:rsidRDefault="005D27D3" w:rsidP="00C525B2">
      <w:pPr>
        <w:pStyle w:val="BulletMike"/>
        <w:jc w:val="both"/>
      </w:pPr>
      <w:r>
        <w:t>A review of minutes and actions from prior meetings</w:t>
      </w:r>
      <w:r w:rsidR="00B525FC">
        <w:t>.</w:t>
      </w:r>
    </w:p>
    <w:p w14:paraId="36CA8519" w14:textId="7F2D3513" w:rsidR="00E9488B" w:rsidRDefault="00E9488B" w:rsidP="00C525B2">
      <w:pPr>
        <w:pStyle w:val="BulletMike"/>
        <w:jc w:val="both"/>
      </w:pPr>
      <w:r>
        <w:t xml:space="preserve">A review of </w:t>
      </w:r>
      <w:r w:rsidR="00FD042C">
        <w:t xml:space="preserve">the </w:t>
      </w:r>
      <w:r w:rsidR="003144D3">
        <w:t>key items of relevance within the quarter</w:t>
      </w:r>
      <w:r w:rsidR="00FD042C">
        <w:t xml:space="preserve"> in each of the areas covered by this TOR.</w:t>
      </w:r>
    </w:p>
    <w:p w14:paraId="1260D1B9" w14:textId="77777777" w:rsidR="007B6520" w:rsidRDefault="00FD042C" w:rsidP="00C525B2">
      <w:pPr>
        <w:pStyle w:val="BulletMike"/>
        <w:jc w:val="both"/>
      </w:pPr>
      <w:r>
        <w:t>A review of the latest issues arising.</w:t>
      </w:r>
    </w:p>
    <w:p w14:paraId="275A5E2E" w14:textId="77777777" w:rsidR="00E9488B" w:rsidRDefault="00FD042C" w:rsidP="00C525B2">
      <w:pPr>
        <w:pStyle w:val="BulletMike"/>
        <w:jc w:val="both"/>
      </w:pPr>
      <w:r>
        <w:t>A consideration of recommendations for improvement.</w:t>
      </w:r>
    </w:p>
    <w:p w14:paraId="50DBD87C" w14:textId="77777777" w:rsidR="00FD042C" w:rsidRDefault="00FD042C" w:rsidP="00C525B2">
      <w:pPr>
        <w:pStyle w:val="BulletMike"/>
        <w:jc w:val="both"/>
      </w:pPr>
      <w:r>
        <w:t>A consideration of recommendations to take to the full Board for approval.</w:t>
      </w:r>
    </w:p>
    <w:p w14:paraId="1D0CFBB8" w14:textId="77777777" w:rsidR="00E9488B" w:rsidRDefault="00E9488B" w:rsidP="00C525B2">
      <w:pPr>
        <w:pStyle w:val="Heading3"/>
        <w:jc w:val="both"/>
      </w:pPr>
      <w:r>
        <w:t>Member roles</w:t>
      </w:r>
    </w:p>
    <w:p w14:paraId="16218030" w14:textId="77777777" w:rsidR="00E9488B" w:rsidRPr="00963CEB" w:rsidRDefault="00E9488B" w:rsidP="00C525B2">
      <w:pPr>
        <w:jc w:val="both"/>
      </w:pPr>
      <w:r w:rsidRPr="00963CEB">
        <w:t xml:space="preserve">The Chair will </w:t>
      </w:r>
      <w:r>
        <w:t>agree</w:t>
      </w:r>
      <w:r w:rsidRPr="00963CEB">
        <w:t xml:space="preserve"> </w:t>
      </w:r>
      <w:r w:rsidR="00FD042C">
        <w:t xml:space="preserve">the </w:t>
      </w:r>
      <w:r w:rsidRPr="00963CEB">
        <w:t xml:space="preserve">agenda for each meeting in agreement with </w:t>
      </w:r>
      <w:r>
        <w:t>the CEO</w:t>
      </w:r>
      <w:r w:rsidRPr="00963CEB">
        <w:t>.</w:t>
      </w:r>
      <w:r w:rsidR="00CD66E5">
        <w:t xml:space="preserve"> </w:t>
      </w:r>
    </w:p>
    <w:p w14:paraId="1E3F69B6" w14:textId="1E23C8BD" w:rsidR="00E9488B" w:rsidRDefault="00E9488B" w:rsidP="00C525B2">
      <w:pPr>
        <w:jc w:val="both"/>
      </w:pPr>
      <w:r w:rsidRPr="00963CEB">
        <w:t xml:space="preserve">The </w:t>
      </w:r>
      <w:r w:rsidR="00F15795">
        <w:t>Director</w:t>
      </w:r>
      <w:r w:rsidR="00FD042C" w:rsidRPr="00FD042C">
        <w:t xml:space="preserve"> of Finance and Administration</w:t>
      </w:r>
      <w:r w:rsidRPr="00963CEB">
        <w:t xml:space="preserve"> will </w:t>
      </w:r>
      <w:r w:rsidR="007B6520">
        <w:t>ensure</w:t>
      </w:r>
      <w:r w:rsidRPr="00963CEB">
        <w:t xml:space="preserve"> the meeting agenda and papers</w:t>
      </w:r>
      <w:r w:rsidR="007B6520">
        <w:t xml:space="preserve"> are sent out</w:t>
      </w:r>
      <w:r w:rsidRPr="00963CEB">
        <w:t xml:space="preserve"> in good time ahead of the meeting, typically no less than 3 days in advance.</w:t>
      </w:r>
    </w:p>
    <w:p w14:paraId="01C72E68" w14:textId="77777777" w:rsidR="00E9488B" w:rsidRDefault="00E9488B" w:rsidP="00C525B2">
      <w:pPr>
        <w:jc w:val="both"/>
      </w:pPr>
      <w:r>
        <w:t>The Chair will keep the meeting to time and confirm action points.</w:t>
      </w:r>
    </w:p>
    <w:p w14:paraId="514C039A" w14:textId="77777777" w:rsidR="00E9488B" w:rsidRDefault="00E9488B" w:rsidP="00C525B2">
      <w:pPr>
        <w:jc w:val="both"/>
      </w:pPr>
      <w:r>
        <w:t>The Chair will maintain overall responsibility for ensuring the action log is up to date.</w:t>
      </w:r>
    </w:p>
    <w:p w14:paraId="6C331126" w14:textId="77777777" w:rsidR="00E9488B" w:rsidRDefault="00E9488B" w:rsidP="00C525B2">
      <w:pPr>
        <w:jc w:val="both"/>
      </w:pPr>
      <w:r>
        <w:t>All members will ensure relevant papers for their sections are distributed in advance of the meeting where consideration of detailed information is required by other members.</w:t>
      </w:r>
    </w:p>
    <w:p w14:paraId="7E25C65A" w14:textId="77777777" w:rsidR="00E9488B" w:rsidRPr="00D42996" w:rsidRDefault="00E9488B" w:rsidP="00C525B2">
      <w:pPr>
        <w:jc w:val="both"/>
      </w:pPr>
      <w:r>
        <w:t>All members will take responsibility for carrying out the actions agreed in the meeting relating to their areas and for updating the action log prior to the meeting.</w:t>
      </w:r>
    </w:p>
    <w:p w14:paraId="0A376C1A" w14:textId="77777777" w:rsidR="00E9488B" w:rsidRDefault="00E9488B" w:rsidP="00C525B2">
      <w:pPr>
        <w:pStyle w:val="Heading3"/>
        <w:jc w:val="both"/>
      </w:pPr>
      <w:r>
        <w:t>Frequency and location</w:t>
      </w:r>
    </w:p>
    <w:p w14:paraId="0B3AC93C" w14:textId="4E243379" w:rsidR="00E9488B" w:rsidRDefault="00A76EDB" w:rsidP="00C525B2">
      <w:pPr>
        <w:jc w:val="both"/>
      </w:pPr>
      <w:r>
        <w:t>One quarterly meeting</w:t>
      </w:r>
      <w:r w:rsidR="007B6520">
        <w:t xml:space="preserve"> ideally</w:t>
      </w:r>
      <w:r>
        <w:t xml:space="preserve"> at least two</w:t>
      </w:r>
      <w:r w:rsidR="00E9488B">
        <w:t xml:space="preserve"> weeks prior to </w:t>
      </w:r>
      <w:r w:rsidR="000B7ECD">
        <w:t xml:space="preserve">the </w:t>
      </w:r>
      <w:r w:rsidR="00E9488B">
        <w:t>Trustee</w:t>
      </w:r>
      <w:r w:rsidR="000B7ECD">
        <w:t xml:space="preserve"> Board</w:t>
      </w:r>
      <w:r w:rsidR="00E9488B">
        <w:t xml:space="preserve"> meeting.</w:t>
      </w:r>
    </w:p>
    <w:p w14:paraId="6946C794" w14:textId="5B9DF104" w:rsidR="00E9488B" w:rsidRDefault="00A76EDB" w:rsidP="00C525B2">
      <w:pPr>
        <w:jc w:val="both"/>
      </w:pPr>
      <w:r>
        <w:t>To be h</w:t>
      </w:r>
      <w:r w:rsidR="00E9488B">
        <w:t xml:space="preserve">eld in person or </w:t>
      </w:r>
      <w:r w:rsidR="000B7ECD">
        <w:t>remotely via Zoom</w:t>
      </w:r>
      <w:r w:rsidR="00E9488B">
        <w:t>.</w:t>
      </w:r>
    </w:p>
    <w:p w14:paraId="5B636F3A" w14:textId="77777777" w:rsidR="00E9488B" w:rsidRPr="006778BD" w:rsidRDefault="00E9488B" w:rsidP="00C525B2">
      <w:pPr>
        <w:pStyle w:val="Heading2"/>
        <w:jc w:val="both"/>
      </w:pPr>
      <w:r w:rsidRPr="006778BD">
        <w:t>Papers</w:t>
      </w:r>
      <w:bookmarkStart w:id="0" w:name="_GoBack"/>
      <w:bookmarkEnd w:id="0"/>
    </w:p>
    <w:p w14:paraId="2083D9CF" w14:textId="11CF56B6" w:rsidR="00706330" w:rsidRPr="00350B5C" w:rsidRDefault="00E9488B" w:rsidP="00C525B2">
      <w:pPr>
        <w:jc w:val="both"/>
      </w:pPr>
      <w:r>
        <w:t xml:space="preserve">Relevant papers to be circulated no less than </w:t>
      </w:r>
      <w:r w:rsidR="007B6520">
        <w:t>3</w:t>
      </w:r>
      <w:r>
        <w:t xml:space="preserve"> </w:t>
      </w:r>
      <w:r w:rsidR="003A3BC1">
        <w:t xml:space="preserve">working </w:t>
      </w:r>
      <w:r>
        <w:t>days in advance by email.</w:t>
      </w:r>
      <w:r w:rsidR="003A3BC1">
        <w:t xml:space="preserve"> Hard copies will be posted on request.</w:t>
      </w:r>
      <w:r w:rsidR="00CD66E5">
        <w:rPr>
          <w:b/>
        </w:rPr>
        <w:tab/>
      </w:r>
      <w:r w:rsidR="00CD66E5">
        <w:rPr>
          <w:b/>
        </w:rPr>
        <w:tab/>
      </w:r>
      <w:r w:rsidR="00CD66E5">
        <w:rPr>
          <w:b/>
        </w:rPr>
        <w:tab/>
      </w:r>
      <w:r w:rsidR="00CD66E5">
        <w:rPr>
          <w:b/>
        </w:rPr>
        <w:tab/>
      </w:r>
    </w:p>
    <w:sectPr w:rsidR="00706330" w:rsidRPr="00350B5C" w:rsidSect="00992ED0">
      <w:headerReference w:type="default" r:id="rId9"/>
      <w:footerReference w:type="default" r:id="rId10"/>
      <w:pgSz w:w="11907" w:h="16839" w:code="9"/>
      <w:pgMar w:top="1440" w:right="1440" w:bottom="1135" w:left="1440" w:header="426" w:footer="4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72C1B" w14:textId="77777777" w:rsidR="00581E86" w:rsidRDefault="00581E86" w:rsidP="00581E86">
      <w:pPr>
        <w:spacing w:after="0" w:line="240" w:lineRule="auto"/>
      </w:pPr>
      <w:r>
        <w:separator/>
      </w:r>
    </w:p>
  </w:endnote>
  <w:endnote w:type="continuationSeparator" w:id="0">
    <w:p w14:paraId="1579A7F0" w14:textId="77777777" w:rsidR="00581E86" w:rsidRDefault="00581E86"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32B0" w14:textId="77777777" w:rsidR="00241FCF" w:rsidRPr="00B65910" w:rsidRDefault="00241FCF" w:rsidP="00D9593A">
    <w:pPr>
      <w:pStyle w:val="Footer"/>
      <w:tabs>
        <w:tab w:val="clear" w:pos="567"/>
        <w:tab w:val="clear" w:pos="1134"/>
        <w:tab w:val="clear" w:pos="1701"/>
        <w:tab w:val="clear" w:pos="2268"/>
        <w:tab w:val="clear" w:pos="9026"/>
      </w:tabs>
      <w:rPr>
        <w:rStyle w:val="Hyperlink"/>
        <w:color w:val="000000" w:themeColor="text1"/>
        <w:sz w:val="16"/>
        <w:szCs w:val="16"/>
        <w:u w:val="none"/>
      </w:rPr>
    </w:pPr>
    <w:r>
      <w:rPr>
        <w:sz w:val="12"/>
        <w:szCs w:val="12"/>
      </w:rPr>
      <w:tab/>
    </w:r>
    <w:hyperlink r:id="rId1" w:history="1">
      <w:r w:rsidR="00D9593A" w:rsidRPr="00D9593A">
        <w:rPr>
          <w:rStyle w:val="Hyperlink"/>
          <w:sz w:val="16"/>
          <w:szCs w:val="16"/>
          <w:u w:val="none"/>
        </w:rPr>
        <w:t>www.meningitis.org</w:t>
      </w:r>
    </w:hyperlink>
  </w:p>
  <w:p w14:paraId="385D5D69" w14:textId="14484806" w:rsidR="00710AA5" w:rsidRPr="00B65910" w:rsidRDefault="00646659" w:rsidP="00B65910">
    <w:pPr>
      <w:pStyle w:val="Footer"/>
      <w:tabs>
        <w:tab w:val="clear" w:pos="567"/>
        <w:tab w:val="clear" w:pos="1134"/>
        <w:tab w:val="clear" w:pos="1701"/>
        <w:tab w:val="clear" w:pos="2268"/>
        <w:tab w:val="clear" w:pos="9026"/>
      </w:tabs>
      <w:rPr>
        <w:color w:val="000000" w:themeColor="text1"/>
        <w:sz w:val="16"/>
        <w:szCs w:val="16"/>
      </w:rPr>
    </w:pPr>
    <w:r>
      <w:rPr>
        <w:rStyle w:val="Hyperlink"/>
        <w:color w:val="000000" w:themeColor="text1"/>
        <w:sz w:val="16"/>
        <w:szCs w:val="16"/>
        <w:u w:val="none"/>
      </w:rPr>
      <w:t xml:space="preserve">Finance and </w:t>
    </w:r>
    <w:r w:rsidR="005D27D3">
      <w:rPr>
        <w:rStyle w:val="Hyperlink"/>
        <w:color w:val="000000" w:themeColor="text1"/>
        <w:sz w:val="16"/>
        <w:szCs w:val="16"/>
        <w:u w:val="none"/>
      </w:rPr>
      <w:t>Risk</w:t>
    </w:r>
    <w:r>
      <w:rPr>
        <w:rStyle w:val="Hyperlink"/>
        <w:color w:val="000000" w:themeColor="text1"/>
        <w:sz w:val="16"/>
        <w:szCs w:val="16"/>
        <w:u w:val="none"/>
      </w:rPr>
      <w:t xml:space="preserve"> Sub-committee TORs </w:t>
    </w:r>
    <w:r w:rsidR="00885717">
      <w:rPr>
        <w:rStyle w:val="Hyperlink"/>
        <w:color w:val="000000" w:themeColor="text1"/>
        <w:sz w:val="16"/>
        <w:szCs w:val="16"/>
        <w:u w:val="none"/>
      </w:rPr>
      <w:t>September 2022</w:t>
    </w:r>
    <w:r w:rsidR="00B65910" w:rsidRPr="00B65910">
      <w:rPr>
        <w:rStyle w:val="Hyperlink"/>
        <w:color w:val="000000" w:themeColor="text1"/>
        <w:sz w:val="16"/>
        <w:szCs w:val="16"/>
        <w:u w:val="none"/>
      </w:rPr>
      <w:tab/>
    </w:r>
    <w:r w:rsidR="00B65910" w:rsidRPr="00B65910">
      <w:rPr>
        <w:rStyle w:val="Hyperlink"/>
        <w:color w:val="000000" w:themeColor="text1"/>
        <w:sz w:val="16"/>
        <w:szCs w:val="16"/>
        <w:u w:val="none"/>
      </w:rPr>
      <w:tab/>
    </w:r>
    <w:r w:rsidR="00B65910" w:rsidRPr="00B65910">
      <w:rPr>
        <w:rStyle w:val="Hyperlink"/>
        <w:color w:val="000000" w:themeColor="text1"/>
        <w:sz w:val="16"/>
        <w:szCs w:val="16"/>
        <w:u w:val="none"/>
      </w:rPr>
      <w:tab/>
    </w:r>
    <w:r w:rsidR="00B65910" w:rsidRPr="00B65910">
      <w:rPr>
        <w:rStyle w:val="Hyperlink"/>
        <w:color w:val="000000" w:themeColor="text1"/>
        <w:sz w:val="16"/>
        <w:szCs w:val="16"/>
        <w:u w:val="none"/>
      </w:rPr>
      <w:tab/>
    </w:r>
    <w:r w:rsidR="00B65910" w:rsidRPr="00B65910">
      <w:rPr>
        <w:rStyle w:val="Hyperlink"/>
        <w:color w:val="000000" w:themeColor="text1"/>
        <w:sz w:val="16"/>
        <w:szCs w:val="16"/>
        <w:u w:val="none"/>
      </w:rPr>
      <w:tab/>
    </w:r>
    <w:r w:rsidR="00B65910" w:rsidRPr="00B65910">
      <w:rPr>
        <w:rStyle w:val="Hyperlink"/>
        <w:color w:val="000000" w:themeColor="text1"/>
        <w:sz w:val="16"/>
        <w:szCs w:val="16"/>
        <w:u w:val="none"/>
      </w:rPr>
      <w:tab/>
    </w:r>
    <w:r w:rsidR="00B65910" w:rsidRPr="00B65910">
      <w:rPr>
        <w:rStyle w:val="Hyperlink"/>
        <w:color w:val="000000" w:themeColor="text1"/>
        <w:sz w:val="16"/>
        <w:szCs w:val="16"/>
        <w:u w:val="none"/>
      </w:rPr>
      <w:tab/>
    </w:r>
    <w:r w:rsidR="00710AA5" w:rsidRPr="00B65910">
      <w:rPr>
        <w:rStyle w:val="Hyperlink"/>
        <w:color w:val="000000" w:themeColor="text1"/>
        <w:sz w:val="16"/>
        <w:szCs w:val="16"/>
        <w:u w:val="none"/>
      </w:rPr>
      <w:fldChar w:fldCharType="begin"/>
    </w:r>
    <w:r w:rsidR="00710AA5" w:rsidRPr="00B65910">
      <w:rPr>
        <w:rStyle w:val="Hyperlink"/>
        <w:color w:val="000000" w:themeColor="text1"/>
        <w:sz w:val="16"/>
        <w:szCs w:val="16"/>
        <w:u w:val="none"/>
      </w:rPr>
      <w:instrText xml:space="preserve"> PAGE   \* MERGEFORMAT </w:instrText>
    </w:r>
    <w:r w:rsidR="00710AA5" w:rsidRPr="00B65910">
      <w:rPr>
        <w:rStyle w:val="Hyperlink"/>
        <w:color w:val="000000" w:themeColor="text1"/>
        <w:sz w:val="16"/>
        <w:szCs w:val="16"/>
        <w:u w:val="none"/>
      </w:rPr>
      <w:fldChar w:fldCharType="separate"/>
    </w:r>
    <w:r w:rsidR="00A76EDB">
      <w:rPr>
        <w:rStyle w:val="Hyperlink"/>
        <w:noProof/>
        <w:color w:val="000000" w:themeColor="text1"/>
        <w:sz w:val="16"/>
        <w:szCs w:val="16"/>
        <w:u w:val="none"/>
      </w:rPr>
      <w:t>2</w:t>
    </w:r>
    <w:r w:rsidR="00710AA5" w:rsidRPr="00B65910">
      <w:rPr>
        <w:rStyle w:val="Hyperlink"/>
        <w:color w:val="000000" w:themeColor="text1"/>
        <w:sz w:val="16"/>
        <w:szCs w:val="16"/>
        <w:u w:val="none"/>
      </w:rPr>
      <w:fldChar w:fldCharType="end"/>
    </w:r>
    <w:r w:rsidR="00710AA5" w:rsidRPr="00B65910">
      <w:rPr>
        <w:rStyle w:val="Hyperlink"/>
        <w:color w:val="000000" w:themeColor="text1"/>
        <w:sz w:val="16"/>
        <w:szCs w:val="16"/>
        <w:u w:val="none"/>
      </w:rPr>
      <w:t>/</w:t>
    </w:r>
    <w:r w:rsidR="00710AA5" w:rsidRPr="00B65910">
      <w:rPr>
        <w:rStyle w:val="Hyperlink"/>
        <w:color w:val="000000" w:themeColor="text1"/>
        <w:sz w:val="16"/>
        <w:szCs w:val="16"/>
        <w:u w:val="none"/>
      </w:rPr>
      <w:fldChar w:fldCharType="begin"/>
    </w:r>
    <w:r w:rsidR="00710AA5" w:rsidRPr="00B65910">
      <w:rPr>
        <w:rStyle w:val="Hyperlink"/>
        <w:color w:val="000000" w:themeColor="text1"/>
        <w:sz w:val="16"/>
        <w:szCs w:val="16"/>
        <w:u w:val="none"/>
      </w:rPr>
      <w:instrText xml:space="preserve"> NUMPAGES   \* MERGEFORMAT </w:instrText>
    </w:r>
    <w:r w:rsidR="00710AA5" w:rsidRPr="00B65910">
      <w:rPr>
        <w:rStyle w:val="Hyperlink"/>
        <w:color w:val="000000" w:themeColor="text1"/>
        <w:sz w:val="16"/>
        <w:szCs w:val="16"/>
        <w:u w:val="none"/>
      </w:rPr>
      <w:fldChar w:fldCharType="separate"/>
    </w:r>
    <w:r w:rsidR="00A76EDB">
      <w:rPr>
        <w:rStyle w:val="Hyperlink"/>
        <w:noProof/>
        <w:color w:val="000000" w:themeColor="text1"/>
        <w:sz w:val="16"/>
        <w:szCs w:val="16"/>
        <w:u w:val="none"/>
      </w:rPr>
      <w:t>2</w:t>
    </w:r>
    <w:r w:rsidR="00710AA5" w:rsidRPr="00B65910">
      <w:rPr>
        <w:rStyle w:val="Hyperlink"/>
        <w:color w:val="000000" w:themeColor="text1"/>
        <w:sz w:val="16"/>
        <w:szCs w:val="16"/>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E3BA4" w14:textId="77777777" w:rsidR="00581E86" w:rsidRDefault="00581E86" w:rsidP="00581E86">
      <w:pPr>
        <w:spacing w:after="0" w:line="240" w:lineRule="auto"/>
      </w:pPr>
      <w:r>
        <w:separator/>
      </w:r>
    </w:p>
  </w:footnote>
  <w:footnote w:type="continuationSeparator" w:id="0">
    <w:p w14:paraId="532EA756" w14:textId="77777777" w:rsidR="00581E86" w:rsidRDefault="00581E86"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DCB4" w14:textId="77777777" w:rsidR="00C92C65" w:rsidRDefault="00C92C65">
    <w:pPr>
      <w:pStyle w:val="Header"/>
    </w:pPr>
    <w:r>
      <w:rPr>
        <w:noProof/>
        <w:lang w:val="en-GB" w:eastAsia="en-GB"/>
      </w:rPr>
      <w:drawing>
        <wp:anchor distT="0" distB="0" distL="114300" distR="114300" simplePos="0" relativeHeight="251659264" behindDoc="0" locked="0" layoutInCell="1" allowOverlap="1" wp14:anchorId="5EA20540" wp14:editId="08B052CD">
          <wp:simplePos x="0" y="0"/>
          <wp:positionH relativeFrom="column">
            <wp:posOffset>5048250</wp:posOffset>
          </wp:positionH>
          <wp:positionV relativeFrom="paragraph">
            <wp:posOffset>-19050</wp:posOffset>
          </wp:positionV>
          <wp:extent cx="1195663" cy="7402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ingitis_CMYK_Purple_small transparent.png"/>
                  <pic:cNvPicPr/>
                </pic:nvPicPr>
                <pic:blipFill>
                  <a:blip r:embed="rId1" cstate="print">
                    <a:alphaModFix amt="42000"/>
                    <a:extLst>
                      <a:ext uri="{28A0092B-C50C-407E-A947-70E740481C1C}">
                        <a14:useLocalDpi xmlns:a14="http://schemas.microsoft.com/office/drawing/2010/main" val="0"/>
                      </a:ext>
                    </a:extLst>
                  </a:blip>
                  <a:stretch>
                    <a:fillRect/>
                  </a:stretch>
                </pic:blipFill>
                <pic:spPr>
                  <a:xfrm>
                    <a:off x="0" y="0"/>
                    <a:ext cx="1195663" cy="7402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579"/>
    <w:multiLevelType w:val="hybridMultilevel"/>
    <w:tmpl w:val="263C4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E46BFC"/>
    <w:multiLevelType w:val="hybridMultilevel"/>
    <w:tmpl w:val="D9E8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16F93"/>
    <w:multiLevelType w:val="hybridMultilevel"/>
    <w:tmpl w:val="5420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D436A"/>
    <w:multiLevelType w:val="hybridMultilevel"/>
    <w:tmpl w:val="09B8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C313F"/>
    <w:multiLevelType w:val="hybridMultilevel"/>
    <w:tmpl w:val="F080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40409"/>
    <w:multiLevelType w:val="hybridMultilevel"/>
    <w:tmpl w:val="ECA4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E37427"/>
    <w:multiLevelType w:val="hybridMultilevel"/>
    <w:tmpl w:val="9F1A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2"/>
  </w:num>
  <w:num w:numId="5">
    <w:abstractNumId w:val="3"/>
  </w:num>
  <w:num w:numId="6">
    <w:abstractNumId w:val="11"/>
  </w:num>
  <w:num w:numId="7">
    <w:abstractNumId w:val="5"/>
  </w:num>
  <w:num w:numId="8">
    <w:abstractNumId w:val="1"/>
  </w:num>
  <w:num w:numId="9">
    <w:abstractNumId w:val="0"/>
  </w:num>
  <w:num w:numId="10">
    <w:abstractNumId w:val="10"/>
  </w:num>
  <w:num w:numId="11">
    <w:abstractNumId w:val="7"/>
  </w:num>
  <w:num w:numId="12">
    <w:abstractNumId w:val="9"/>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47763"/>
    <w:rsid w:val="00062CE0"/>
    <w:rsid w:val="000B7ECD"/>
    <w:rsid w:val="00111E3B"/>
    <w:rsid w:val="00153A2A"/>
    <w:rsid w:val="00187CF8"/>
    <w:rsid w:val="00193227"/>
    <w:rsid w:val="00216E7D"/>
    <w:rsid w:val="0022307C"/>
    <w:rsid w:val="00241FCF"/>
    <w:rsid w:val="00255095"/>
    <w:rsid w:val="003144D3"/>
    <w:rsid w:val="00350B5C"/>
    <w:rsid w:val="0036437B"/>
    <w:rsid w:val="00387F54"/>
    <w:rsid w:val="003A3BC1"/>
    <w:rsid w:val="003C4182"/>
    <w:rsid w:val="003F6E2C"/>
    <w:rsid w:val="004C6AF9"/>
    <w:rsid w:val="004E700B"/>
    <w:rsid w:val="00501C34"/>
    <w:rsid w:val="00533C77"/>
    <w:rsid w:val="00581E86"/>
    <w:rsid w:val="005D27D3"/>
    <w:rsid w:val="006102A2"/>
    <w:rsid w:val="00646659"/>
    <w:rsid w:val="00706330"/>
    <w:rsid w:val="00710AA5"/>
    <w:rsid w:val="0076694B"/>
    <w:rsid w:val="007B6520"/>
    <w:rsid w:val="007E07A9"/>
    <w:rsid w:val="008538FB"/>
    <w:rsid w:val="00885717"/>
    <w:rsid w:val="00886D3E"/>
    <w:rsid w:val="00950B27"/>
    <w:rsid w:val="00966D87"/>
    <w:rsid w:val="00975F53"/>
    <w:rsid w:val="00992ED0"/>
    <w:rsid w:val="009A2FF2"/>
    <w:rsid w:val="00A22FB5"/>
    <w:rsid w:val="00A62C72"/>
    <w:rsid w:val="00A71CAE"/>
    <w:rsid w:val="00A76EDB"/>
    <w:rsid w:val="00AC6692"/>
    <w:rsid w:val="00B43823"/>
    <w:rsid w:val="00B525FC"/>
    <w:rsid w:val="00B576C0"/>
    <w:rsid w:val="00B65910"/>
    <w:rsid w:val="00BD1F33"/>
    <w:rsid w:val="00C00931"/>
    <w:rsid w:val="00C332F1"/>
    <w:rsid w:val="00C525B2"/>
    <w:rsid w:val="00C65A59"/>
    <w:rsid w:val="00C92C65"/>
    <w:rsid w:val="00CD66E5"/>
    <w:rsid w:val="00D17617"/>
    <w:rsid w:val="00D7145E"/>
    <w:rsid w:val="00D9593A"/>
    <w:rsid w:val="00DA61EB"/>
    <w:rsid w:val="00DE062B"/>
    <w:rsid w:val="00E6374D"/>
    <w:rsid w:val="00E67F3C"/>
    <w:rsid w:val="00E71B9A"/>
    <w:rsid w:val="00E9488B"/>
    <w:rsid w:val="00EB08CB"/>
    <w:rsid w:val="00EB3F1F"/>
    <w:rsid w:val="00F15795"/>
    <w:rsid w:val="00F31E2C"/>
    <w:rsid w:val="00F54B10"/>
    <w:rsid w:val="00F628DE"/>
    <w:rsid w:val="00FD0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A82A98E"/>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55095"/>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DE062B"/>
    <w:pPr>
      <w:keepNext/>
      <w:keepLines/>
      <w:spacing w:before="400" w:after="240" w:line="240" w:lineRule="auto"/>
      <w:outlineLvl w:val="0"/>
    </w:pPr>
    <w:rPr>
      <w:rFonts w:eastAsiaTheme="majorEastAsia" w:cstheme="majorBidi"/>
      <w:color w:val="301D7D" w:themeColor="accent1"/>
      <w:sz w:val="28"/>
      <w:szCs w:val="28"/>
    </w:rPr>
  </w:style>
  <w:style w:type="paragraph" w:styleId="Heading2">
    <w:name w:val="heading 2"/>
    <w:basedOn w:val="Normal"/>
    <w:next w:val="Normal"/>
    <w:link w:val="Heading2Char"/>
    <w:uiPriority w:val="1"/>
    <w:qFormat/>
    <w:rsid w:val="00DE062B"/>
    <w:pPr>
      <w:keepNext/>
      <w:keepLines/>
      <w:spacing w:before="160" w:after="240" w:line="240" w:lineRule="auto"/>
      <w:outlineLvl w:val="1"/>
    </w:pPr>
    <w:rPr>
      <w:rFonts w:eastAsiaTheme="majorEastAsia" w:cstheme="majorBidi"/>
      <w:color w:val="404040" w:themeColor="text1" w:themeTint="BF"/>
      <w:sz w:val="24"/>
      <w:szCs w:val="24"/>
    </w:rPr>
  </w:style>
  <w:style w:type="paragraph" w:styleId="Heading3">
    <w:name w:val="heading 3"/>
    <w:basedOn w:val="Normal"/>
    <w:next w:val="Normal"/>
    <w:link w:val="Heading3Char"/>
    <w:uiPriority w:val="2"/>
    <w:qFormat/>
    <w:rsid w:val="00DE062B"/>
    <w:pPr>
      <w:keepNext/>
      <w:keepLines/>
      <w:spacing w:before="160" w:after="240" w:line="240" w:lineRule="auto"/>
      <w:outlineLvl w:val="2"/>
    </w:pPr>
    <w:rPr>
      <w:rFonts w:eastAsiaTheme="majorEastAsia" w:cstheme="majorBidi"/>
      <w:color w:val="301D7D" w:themeColor="accent1"/>
      <w:sz w:val="22"/>
      <w:szCs w:val="22"/>
    </w:rPr>
  </w:style>
  <w:style w:type="paragraph" w:styleId="Heading4">
    <w:name w:val="heading 4"/>
    <w:basedOn w:val="Normal"/>
    <w:next w:val="Normal"/>
    <w:link w:val="Heading4Char"/>
    <w:uiPriority w:val="9"/>
    <w:unhideWhenUsed/>
    <w:qFormat/>
    <w:rsid w:val="00975F53"/>
    <w:pPr>
      <w:keepNext/>
      <w:keepLines/>
      <w:spacing w:before="160" w:after="120"/>
      <w:outlineLvl w:val="3"/>
    </w:pPr>
    <w:rPr>
      <w:rFonts w:asciiTheme="majorHAnsi" w:eastAsiaTheme="majorEastAsia" w:hAnsiTheme="majorHAnsi" w:cstheme="majorBidi"/>
      <w:b/>
      <w:bCs/>
      <w:color w:val="000000" w:themeColor="text1"/>
      <w:szCs w:val="20"/>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DE062B"/>
    <w:rPr>
      <w:rFonts w:ascii="Arial" w:eastAsiaTheme="majorEastAsia" w:hAnsi="Arial" w:cstheme="majorBidi"/>
      <w:color w:val="301D7D" w:themeColor="accent1"/>
      <w:sz w:val="28"/>
      <w:szCs w:val="28"/>
    </w:rPr>
  </w:style>
  <w:style w:type="character" w:customStyle="1" w:styleId="Heading2Char">
    <w:name w:val="Heading 2 Char"/>
    <w:basedOn w:val="DefaultParagraphFont"/>
    <w:link w:val="Heading2"/>
    <w:uiPriority w:val="1"/>
    <w:rsid w:val="00DE062B"/>
    <w:rPr>
      <w:rFonts w:ascii="Arial" w:eastAsiaTheme="majorEastAsia" w:hAnsi="Arial" w:cstheme="majorBidi"/>
      <w:color w:val="404040" w:themeColor="text1" w:themeTint="BF"/>
      <w:sz w:val="24"/>
      <w:szCs w:val="24"/>
    </w:rPr>
  </w:style>
  <w:style w:type="character" w:customStyle="1" w:styleId="Heading3Char">
    <w:name w:val="Heading 3 Char"/>
    <w:basedOn w:val="DefaultParagraphFont"/>
    <w:link w:val="Heading3"/>
    <w:uiPriority w:val="2"/>
    <w:rsid w:val="00DE062B"/>
    <w:rPr>
      <w:rFonts w:ascii="Arial" w:eastAsiaTheme="majorEastAsia" w:hAnsi="Arial" w:cstheme="majorBidi"/>
      <w:color w:val="301D7D" w:themeColor="accent1"/>
      <w:sz w:val="22"/>
      <w:szCs w:val="22"/>
    </w:rPr>
  </w:style>
  <w:style w:type="character" w:customStyle="1" w:styleId="Heading4Char">
    <w:name w:val="Heading 4 Char"/>
    <w:basedOn w:val="DefaultParagraphFont"/>
    <w:link w:val="Heading4"/>
    <w:uiPriority w:val="9"/>
    <w:rsid w:val="00975F53"/>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8"/>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table" w:styleId="TableGridLight">
    <w:name w:val="Grid Table Light"/>
    <w:basedOn w:val="TableNormal"/>
    <w:uiPriority w:val="40"/>
    <w:rsid w:val="00E94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62CE0"/>
    <w:rPr>
      <w:sz w:val="16"/>
      <w:szCs w:val="16"/>
    </w:rPr>
  </w:style>
  <w:style w:type="paragraph" w:styleId="CommentText">
    <w:name w:val="annotation text"/>
    <w:basedOn w:val="Normal"/>
    <w:link w:val="CommentTextChar"/>
    <w:uiPriority w:val="99"/>
    <w:semiHidden/>
    <w:unhideWhenUsed/>
    <w:rsid w:val="00062CE0"/>
    <w:pPr>
      <w:spacing w:line="240" w:lineRule="auto"/>
    </w:pPr>
    <w:rPr>
      <w:szCs w:val="20"/>
    </w:rPr>
  </w:style>
  <w:style w:type="character" w:customStyle="1" w:styleId="CommentTextChar">
    <w:name w:val="Comment Text Char"/>
    <w:basedOn w:val="DefaultParagraphFont"/>
    <w:link w:val="CommentText"/>
    <w:uiPriority w:val="99"/>
    <w:semiHidden/>
    <w:rsid w:val="00062C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2CE0"/>
    <w:rPr>
      <w:b/>
      <w:bCs/>
    </w:rPr>
  </w:style>
  <w:style w:type="character" w:customStyle="1" w:styleId="CommentSubjectChar">
    <w:name w:val="Comment Subject Char"/>
    <w:basedOn w:val="CommentTextChar"/>
    <w:link w:val="CommentSubject"/>
    <w:uiPriority w:val="99"/>
    <w:semiHidden/>
    <w:rsid w:val="00062CE0"/>
    <w:rPr>
      <w:rFonts w:ascii="Arial" w:hAnsi="Arial"/>
      <w:b/>
      <w:bCs/>
      <w:sz w:val="20"/>
      <w:szCs w:val="20"/>
    </w:rPr>
  </w:style>
  <w:style w:type="paragraph" w:customStyle="1" w:styleId="Default">
    <w:name w:val="Default"/>
    <w:rsid w:val="005D27D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eningit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t\AppData\Roaming\Microsoft\Templates\Ion%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61AC40BC-CEA9-4CAF-B231-73AC0EF5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Carol Currie</cp:lastModifiedBy>
  <cp:revision>16</cp:revision>
  <cp:lastPrinted>2019-01-18T09:06:00Z</cp:lastPrinted>
  <dcterms:created xsi:type="dcterms:W3CDTF">2021-09-21T10:41:00Z</dcterms:created>
  <dcterms:modified xsi:type="dcterms:W3CDTF">2022-09-25T08:04:00Z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